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ACB9" w14:textId="77777777" w:rsidR="00EB7897" w:rsidRDefault="00EB7897" w:rsidP="00EB7897">
      <w:pPr>
        <w:jc w:val="center"/>
      </w:pPr>
    </w:p>
    <w:p w14:paraId="69E4E91E" w14:textId="77777777" w:rsidR="00C558EA" w:rsidRDefault="00C558EA" w:rsidP="00EB7897">
      <w:pPr>
        <w:jc w:val="center"/>
      </w:pPr>
    </w:p>
    <w:p w14:paraId="012057FF" w14:textId="77777777" w:rsidR="00C558EA" w:rsidRDefault="00C558EA" w:rsidP="00EB7897">
      <w:pPr>
        <w:jc w:val="center"/>
      </w:pPr>
    </w:p>
    <w:p w14:paraId="386F89C0" w14:textId="77777777" w:rsidR="00C558EA" w:rsidRDefault="00C558EA" w:rsidP="00EB7897">
      <w:pPr>
        <w:jc w:val="center"/>
      </w:pPr>
    </w:p>
    <w:p w14:paraId="045794C2" w14:textId="77777777" w:rsidR="00C558EA" w:rsidRDefault="00C558EA" w:rsidP="00EB7897">
      <w:pPr>
        <w:jc w:val="center"/>
      </w:pPr>
    </w:p>
    <w:p w14:paraId="2883B43F" w14:textId="77777777" w:rsidR="00C558EA" w:rsidRDefault="00C558EA" w:rsidP="00EB7897">
      <w:pPr>
        <w:jc w:val="center"/>
      </w:pPr>
    </w:p>
    <w:p w14:paraId="304BA63E" w14:textId="77777777" w:rsidR="00EB7897" w:rsidRDefault="00EB7897" w:rsidP="00EB7897">
      <w:pPr>
        <w:jc w:val="center"/>
      </w:pPr>
    </w:p>
    <w:p w14:paraId="582C8594" w14:textId="77777777" w:rsidR="00EB7897" w:rsidRDefault="00EB7897" w:rsidP="00EB7897">
      <w:pPr>
        <w:jc w:val="center"/>
      </w:pPr>
    </w:p>
    <w:p w14:paraId="232758F4" w14:textId="153298A2" w:rsidR="00EB7897" w:rsidRDefault="00EB7897" w:rsidP="00EB7897">
      <w:pPr>
        <w:jc w:val="center"/>
        <w:rPr>
          <w:rFonts w:ascii="ACADEMY ENGRAVED LET PLAIN:1.0" w:hAnsi="ACADEMY ENGRAVED LET PLAIN:1.0"/>
          <w:sz w:val="82"/>
          <w:szCs w:val="82"/>
        </w:rPr>
      </w:pPr>
      <w:r w:rsidRPr="009712A5">
        <w:rPr>
          <w:rFonts w:ascii="ACADEMY ENGRAVED LET PLAIN:1.0" w:hAnsi="ACADEMY ENGRAVED LET PLAIN:1.0"/>
          <w:sz w:val="82"/>
          <w:szCs w:val="82"/>
        </w:rPr>
        <w:t>Samford University</w:t>
      </w:r>
    </w:p>
    <w:p w14:paraId="530C717F" w14:textId="0E76A274" w:rsidR="00337655" w:rsidRPr="00337655" w:rsidRDefault="00337655" w:rsidP="00EB7897">
      <w:pPr>
        <w:jc w:val="center"/>
        <w:rPr>
          <w:rFonts w:ascii="ACADEMY ENGRAVED LET PLAIN:1.0" w:hAnsi="ACADEMY ENGRAVED LET PLAIN:1.0"/>
          <w:sz w:val="82"/>
          <w:szCs w:val="82"/>
        </w:rPr>
      </w:pPr>
      <w:r>
        <w:rPr>
          <w:rFonts w:ascii="ACADEMY ENGRAVED LET PLAIN:1.0" w:hAnsi="ACADEMY ENGRAVED LET PLAIN:1.0"/>
          <w:sz w:val="82"/>
          <w:szCs w:val="82"/>
        </w:rPr>
        <w:t>Research Journal</w:t>
      </w:r>
    </w:p>
    <w:p w14:paraId="08404C6C" w14:textId="0DC47722" w:rsidR="009712A5" w:rsidRPr="00F13E8E" w:rsidRDefault="009712A5" w:rsidP="00EB7897">
      <w:pPr>
        <w:jc w:val="center"/>
        <w:rPr>
          <w:rFonts w:ascii="ACADEMY ENGRAVED LET PLAIN:1.0" w:hAnsi="ACADEMY ENGRAVED LET PLAIN:1.0"/>
          <w:sz w:val="62"/>
          <w:szCs w:val="62"/>
        </w:rPr>
      </w:pPr>
      <w:r w:rsidRPr="00F13E8E">
        <w:rPr>
          <w:rFonts w:ascii="ACADEMY ENGRAVED LET PLAIN:1.0" w:hAnsi="ACADEMY ENGRAVED LET PLAIN:1.0"/>
          <w:sz w:val="62"/>
          <w:szCs w:val="62"/>
        </w:rPr>
        <w:t>Summer</w:t>
      </w:r>
      <w:r w:rsidR="00F13E8E" w:rsidRPr="00F13E8E">
        <w:rPr>
          <w:rFonts w:ascii="ACADEMY ENGRAVED LET PLAIN:1.0" w:hAnsi="ACADEMY ENGRAVED LET PLAIN:1.0"/>
          <w:sz w:val="62"/>
          <w:szCs w:val="62"/>
        </w:rPr>
        <w:t xml:space="preserve"> 2026</w:t>
      </w:r>
    </w:p>
    <w:p w14:paraId="1EE9E418" w14:textId="77777777" w:rsidR="00743E97" w:rsidRDefault="00743E97"/>
    <w:p w14:paraId="6BE95CB1" w14:textId="77777777" w:rsidR="00743E97" w:rsidRDefault="00743E97"/>
    <w:p w14:paraId="2CD66275" w14:textId="77777777" w:rsidR="00C558EA" w:rsidRDefault="00C558EA"/>
    <w:p w14:paraId="0BBF22CC" w14:textId="77777777" w:rsidR="00C558EA" w:rsidRDefault="00C558EA"/>
    <w:p w14:paraId="1A1125FC" w14:textId="77777777" w:rsidR="00C558EA" w:rsidRDefault="00C558EA"/>
    <w:p w14:paraId="36E7C7ED" w14:textId="77777777" w:rsidR="00C558EA" w:rsidRDefault="00C558EA"/>
    <w:p w14:paraId="5D20693A" w14:textId="77777777" w:rsidR="00C558EA" w:rsidRDefault="00C558EA"/>
    <w:p w14:paraId="0B366420" w14:textId="77777777" w:rsidR="00C558EA" w:rsidRDefault="00C558EA"/>
    <w:p w14:paraId="1B6F56E1" w14:textId="77777777" w:rsidR="00C558EA" w:rsidRDefault="00C558EA"/>
    <w:p w14:paraId="45943676" w14:textId="77777777" w:rsidR="00C558EA" w:rsidRDefault="00C558EA"/>
    <w:p w14:paraId="57801ED6" w14:textId="1A0AC72A" w:rsidR="00C558EA" w:rsidRDefault="00C558EA"/>
    <w:p w14:paraId="509B583B" w14:textId="77777777" w:rsidR="00C558EA" w:rsidRDefault="00C558EA"/>
    <w:p w14:paraId="4F0E92FE" w14:textId="77777777" w:rsidR="00C558EA" w:rsidRDefault="00C558EA"/>
    <w:p w14:paraId="50556DE0" w14:textId="77777777" w:rsidR="00C558EA" w:rsidRDefault="00C558EA"/>
    <w:p w14:paraId="5722FADB" w14:textId="77777777" w:rsidR="00C558EA" w:rsidRDefault="00C558EA"/>
    <w:p w14:paraId="090B9677" w14:textId="77777777" w:rsidR="00C558EA" w:rsidRDefault="00C558EA"/>
    <w:p w14:paraId="11850590" w14:textId="77777777" w:rsidR="00C558EA" w:rsidRDefault="00C558EA"/>
    <w:p w14:paraId="41306DB0" w14:textId="77777777" w:rsidR="00C558EA" w:rsidRDefault="00C558EA"/>
    <w:p w14:paraId="0EF15BDD" w14:textId="77777777" w:rsidR="00C558EA" w:rsidRDefault="00C558EA"/>
    <w:p w14:paraId="1839ADE0" w14:textId="77777777" w:rsidR="00C558EA" w:rsidRDefault="00C558EA"/>
    <w:p w14:paraId="0A93D224" w14:textId="77777777" w:rsidR="00C558EA" w:rsidRDefault="00C558EA"/>
    <w:p w14:paraId="3E7B71F7" w14:textId="77777777" w:rsidR="00C558EA" w:rsidRDefault="00C558EA"/>
    <w:p w14:paraId="62E83A66" w14:textId="77777777" w:rsidR="00C558EA" w:rsidRDefault="00C558EA"/>
    <w:p w14:paraId="06B71789" w14:textId="77777777" w:rsidR="00C558EA" w:rsidRDefault="00C558EA"/>
    <w:p w14:paraId="7DC3ED47" w14:textId="77777777" w:rsidR="00C558EA" w:rsidRDefault="00C558EA"/>
    <w:p w14:paraId="2956DC03" w14:textId="77777777" w:rsidR="00C558EA" w:rsidRDefault="00C558EA"/>
    <w:p w14:paraId="74C465F2" w14:textId="77777777" w:rsidR="003D1320" w:rsidRPr="006B5B64" w:rsidRDefault="003D1320" w:rsidP="003D1320">
      <w:pPr>
        <w:jc w:val="right"/>
        <w:rPr>
          <w:rFonts w:ascii="Bodoni MT" w:hAnsi="Bodoni MT" w:cs="Times New Roman"/>
          <w:sz w:val="48"/>
          <w:szCs w:val="48"/>
        </w:rPr>
      </w:pPr>
      <w:r w:rsidRPr="006B5B64">
        <w:rPr>
          <w:rFonts w:ascii="Bodoni MT" w:hAnsi="Bodoni MT" w:cs="Times New Roman"/>
          <w:noProof/>
          <w:sz w:val="48"/>
          <w:szCs w:val="48"/>
        </w:rPr>
        <mc:AlternateContent>
          <mc:Choice Requires="wps">
            <w:drawing>
              <wp:anchor distT="0" distB="0" distL="114300" distR="114300" simplePos="0" relativeHeight="251659264" behindDoc="0" locked="0" layoutInCell="1" allowOverlap="1" wp14:anchorId="76725F41" wp14:editId="1CBD4637">
                <wp:simplePos x="0" y="0"/>
                <wp:positionH relativeFrom="margin">
                  <wp:align>center</wp:align>
                </wp:positionH>
                <wp:positionV relativeFrom="paragraph">
                  <wp:posOffset>400964</wp:posOffset>
                </wp:positionV>
                <wp:extent cx="6654506" cy="0"/>
                <wp:effectExtent l="0" t="0" r="0" b="0"/>
                <wp:wrapNone/>
                <wp:docPr id="119438918" name="Straight Connector 1"/>
                <wp:cNvGraphicFramePr/>
                <a:graphic xmlns:a="http://schemas.openxmlformats.org/drawingml/2006/main">
                  <a:graphicData uri="http://schemas.microsoft.com/office/word/2010/wordprocessingShape">
                    <wps:wsp>
                      <wps:cNvCnPr/>
                      <wps:spPr>
                        <a:xfrm flipV="1">
                          <a:off x="0" y="0"/>
                          <a:ext cx="6654506"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7B58CA5" id="Straight Connector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55pt" to="524pt,3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" strokecolor="black [3200]" strokeweight="1pt">
                <v:stroke joinstyle="miter"/>
                <w10:wrap anchorx="margin"/>
              </v:line>
            </w:pict>
          </mc:Fallback>
        </mc:AlternateContent>
      </w:r>
      <w:r w:rsidRPr="006B5B64">
        <w:rPr>
          <w:rFonts w:ascii="Bodoni MT" w:hAnsi="Bodoni MT" w:cs="Times New Roman"/>
          <w:sz w:val="48"/>
          <w:szCs w:val="48"/>
        </w:rPr>
        <w:t>Table of Contents</w:t>
      </w:r>
    </w:p>
    <w:p w14:paraId="2D87E622" w14:textId="77777777" w:rsidR="003D1320" w:rsidRDefault="003D1320" w:rsidP="003D1320">
      <w:pPr>
        <w:rPr>
          <w:rFonts w:ascii="Times New Roman" w:hAnsi="Times New Roman" w:cs="Times New Roman"/>
        </w:rPr>
      </w:pPr>
    </w:p>
    <w:p w14:paraId="51946B82" w14:textId="77777777" w:rsidR="003D1320" w:rsidRDefault="003D1320" w:rsidP="003D1320">
      <w:pPr>
        <w:rPr>
          <w:rFonts w:ascii="Times New Roman" w:hAnsi="Times New Roman" w:cs="Times New Roman"/>
        </w:rPr>
      </w:pPr>
    </w:p>
    <w:p w14:paraId="45ED4D2B" w14:textId="1FD74AD9" w:rsidR="003D1320" w:rsidRDefault="003D1320" w:rsidP="003D1320">
      <w:pPr>
        <w:rPr>
          <w:rFonts w:ascii="Times New Roman" w:hAnsi="Times New Roman" w:cs="Times New Roman"/>
        </w:rPr>
      </w:pPr>
      <w:r>
        <w:rPr>
          <w:rFonts w:ascii="Times New Roman" w:hAnsi="Times New Roman" w:cs="Times New Roman"/>
        </w:rPr>
        <w:t xml:space="preserve">Our Editorial Board . . . . . . . . . . . . . . . . . . . . . . . . . . . . . . .  . . . . . . . . . . . . . . . . . . . . . . . . . . . . . </w:t>
      </w:r>
      <w:r w:rsidR="00037D1A">
        <w:rPr>
          <w:rFonts w:ascii="Times New Roman" w:hAnsi="Times New Roman" w:cs="Times New Roman"/>
        </w:rPr>
        <w:t>2</w:t>
      </w:r>
    </w:p>
    <w:p w14:paraId="462BCDE4" w14:textId="77777777" w:rsidR="00AA6DD9" w:rsidRDefault="00AA6DD9" w:rsidP="003D1320">
      <w:pPr>
        <w:rPr>
          <w:rFonts w:ascii="Times New Roman" w:hAnsi="Times New Roman" w:cs="Times New Roman"/>
        </w:rPr>
      </w:pPr>
    </w:p>
    <w:p w14:paraId="4F0E99AD" w14:textId="77777777" w:rsidR="00AA6DD9" w:rsidRDefault="00AA6DD9" w:rsidP="003D1320">
      <w:pPr>
        <w:rPr>
          <w:rFonts w:ascii="Times New Roman" w:hAnsi="Times New Roman" w:cs="Times New Roman"/>
        </w:rPr>
      </w:pPr>
    </w:p>
    <w:p w14:paraId="5A5B9A97" w14:textId="5A02490A" w:rsidR="00AA6DD9" w:rsidRDefault="00AA6DD9" w:rsidP="003D1320">
      <w:pPr>
        <w:rPr>
          <w:rFonts w:ascii="Times New Roman" w:hAnsi="Times New Roman" w:cs="Times New Roman"/>
        </w:rPr>
      </w:pPr>
      <w:r w:rsidRPr="009A0D85">
        <w:rPr>
          <w:rFonts w:ascii="Times New Roman" w:hAnsi="Times New Roman" w:cs="Times New Roman"/>
        </w:rPr>
        <w:t>Distinguished Authors</w:t>
      </w:r>
      <w:r>
        <w:rPr>
          <w:rFonts w:ascii="Times New Roman" w:hAnsi="Times New Roman" w:cs="Times New Roman"/>
        </w:rPr>
        <w:t xml:space="preserve"> . . . . . . . . . . . . . . . . . . . . . . . . . . . . . . .  . . . . . . . . . . . . . . . . . . . . . . . . . . .</w:t>
      </w:r>
      <w:r w:rsidR="00037D1A">
        <w:rPr>
          <w:rFonts w:ascii="Times New Roman" w:hAnsi="Times New Roman" w:cs="Times New Roman"/>
        </w:rPr>
        <w:t>3</w:t>
      </w:r>
    </w:p>
    <w:p w14:paraId="58568C98" w14:textId="77777777" w:rsidR="003D1320" w:rsidRDefault="003D1320" w:rsidP="003D1320">
      <w:pPr>
        <w:rPr>
          <w:rFonts w:ascii="Times New Roman" w:hAnsi="Times New Roman" w:cs="Times New Roman"/>
        </w:rPr>
      </w:pPr>
    </w:p>
    <w:p w14:paraId="798FB980" w14:textId="77777777" w:rsidR="00AA6DD9" w:rsidRDefault="00AA6DD9" w:rsidP="003D1320">
      <w:pPr>
        <w:rPr>
          <w:rFonts w:ascii="Times New Roman" w:hAnsi="Times New Roman" w:cs="Times New Roman"/>
        </w:rPr>
      </w:pPr>
    </w:p>
    <w:p w14:paraId="0B5C7BDD" w14:textId="77777777" w:rsidR="003D1320" w:rsidRDefault="003D1320" w:rsidP="003D1320">
      <w:pPr>
        <w:rPr>
          <w:rFonts w:ascii="Times New Roman" w:hAnsi="Times New Roman" w:cs="Times New Roman"/>
        </w:rPr>
      </w:pPr>
      <w:r>
        <w:rPr>
          <w:rFonts w:ascii="Times New Roman" w:hAnsi="Times New Roman" w:cs="Times New Roman"/>
        </w:rPr>
        <w:t>“</w:t>
      </w:r>
      <w:r w:rsidRPr="009A0D85">
        <w:rPr>
          <w:rFonts w:ascii="Times New Roman" w:hAnsi="Times New Roman" w:cs="Times New Roman"/>
          <w:i/>
          <w:iCs/>
        </w:rPr>
        <w:t>Writing Beyond the Code:</w:t>
      </w:r>
      <w:r w:rsidRPr="009A0D85">
        <w:rPr>
          <w:rFonts w:ascii="Times New Roman" w:hAnsi="Times New Roman" w:cs="Times New Roman"/>
        </w:rPr>
        <w:t xml:space="preserve"> Tolkien's Critique of Ascetic Ideals in Medieval Heroic Chivalry</w:t>
      </w:r>
      <w:r>
        <w:rPr>
          <w:rFonts w:ascii="Times New Roman" w:hAnsi="Times New Roman" w:cs="Times New Roman"/>
        </w:rPr>
        <w:t>”</w:t>
      </w:r>
    </w:p>
    <w:p w14:paraId="76087C30" w14:textId="7F997467" w:rsidR="003D1320" w:rsidRDefault="003D1320" w:rsidP="003D1320">
      <w:pPr>
        <w:rPr>
          <w:rFonts w:ascii="Times New Roman" w:hAnsi="Times New Roman" w:cs="Times New Roman"/>
        </w:rPr>
      </w:pPr>
      <w:r>
        <w:rPr>
          <w:rFonts w:ascii="Times New Roman" w:hAnsi="Times New Roman" w:cs="Times New Roman"/>
        </w:rPr>
        <w:t xml:space="preserve">Wesley Brown . . . . . . . . . . . . . . . . . . . . . . . . . . . . . . . . . . . . . . . . . . . . . . . . . . . . . . . . . . . . . . . . </w:t>
      </w:r>
      <w:r w:rsidR="00D47D10">
        <w:rPr>
          <w:rFonts w:ascii="Times New Roman" w:hAnsi="Times New Roman" w:cs="Times New Roman"/>
        </w:rPr>
        <w:t>.</w:t>
      </w:r>
      <w:r w:rsidR="00037D1A">
        <w:rPr>
          <w:rFonts w:ascii="Times New Roman" w:hAnsi="Times New Roman" w:cs="Times New Roman"/>
        </w:rPr>
        <w:t>4</w:t>
      </w:r>
    </w:p>
    <w:p w14:paraId="3E913267" w14:textId="77777777" w:rsidR="003D1320" w:rsidRDefault="003D1320" w:rsidP="003D1320">
      <w:pPr>
        <w:rPr>
          <w:rFonts w:ascii="Times New Roman" w:hAnsi="Times New Roman" w:cs="Times New Roman"/>
        </w:rPr>
      </w:pPr>
    </w:p>
    <w:p w14:paraId="634761B9" w14:textId="77777777" w:rsidR="003D1320" w:rsidRDefault="003D1320" w:rsidP="003D1320">
      <w:pPr>
        <w:rPr>
          <w:rFonts w:ascii="Times New Roman" w:hAnsi="Times New Roman" w:cs="Times New Roman"/>
        </w:rPr>
      </w:pPr>
    </w:p>
    <w:p w14:paraId="447CDAE9" w14:textId="77777777" w:rsidR="003D1320" w:rsidRDefault="003D1320" w:rsidP="003D1320">
      <w:pPr>
        <w:rPr>
          <w:rFonts w:ascii="Times New Roman" w:hAnsi="Times New Roman" w:cs="Times New Roman"/>
        </w:rPr>
      </w:pPr>
      <w:r w:rsidRPr="006B5B64">
        <w:rPr>
          <w:rFonts w:ascii="Times New Roman" w:hAnsi="Times New Roman" w:cs="Times New Roman"/>
        </w:rPr>
        <w:t>"</w:t>
      </w:r>
      <w:r w:rsidRPr="006B5B64">
        <w:rPr>
          <w:rFonts w:ascii="Times New Roman" w:hAnsi="Times New Roman" w:cs="Times New Roman"/>
          <w:i/>
          <w:iCs/>
        </w:rPr>
        <w:t>The Weaponization of Belief:</w:t>
      </w:r>
      <w:r w:rsidRPr="006B5B64">
        <w:rPr>
          <w:rFonts w:ascii="Times New Roman" w:hAnsi="Times New Roman" w:cs="Times New Roman"/>
        </w:rPr>
        <w:t xml:space="preserve"> An Analysis of Shia Asymmetric Strategy in the Red Sea"</w:t>
      </w:r>
    </w:p>
    <w:p w14:paraId="04E6FB48" w14:textId="13A76072" w:rsidR="003D1320" w:rsidRDefault="003D1320" w:rsidP="003D1320">
      <w:pPr>
        <w:rPr>
          <w:rFonts w:ascii="Times New Roman" w:hAnsi="Times New Roman" w:cs="Times New Roman"/>
        </w:rPr>
      </w:pPr>
      <w:r>
        <w:rPr>
          <w:rFonts w:ascii="Times New Roman" w:hAnsi="Times New Roman" w:cs="Times New Roman"/>
        </w:rPr>
        <w:t>C.G. Daniels . . . . . . . . . . . . . . . . . . . . . . . . . . . . . . . . . . . . . . . . . . . . . . . . . . . . . . .</w:t>
      </w:r>
      <w:r w:rsidR="00037D1A">
        <w:rPr>
          <w:rFonts w:ascii="Times New Roman" w:hAnsi="Times New Roman" w:cs="Times New Roman"/>
        </w:rPr>
        <w:t xml:space="preserve"> </w:t>
      </w:r>
      <w:r>
        <w:rPr>
          <w:rFonts w:ascii="Times New Roman" w:hAnsi="Times New Roman" w:cs="Times New Roman"/>
        </w:rPr>
        <w:t xml:space="preserve"> . . . . . . . . . .</w:t>
      </w:r>
      <w:r w:rsidR="00037D1A">
        <w:rPr>
          <w:rFonts w:ascii="Times New Roman" w:hAnsi="Times New Roman" w:cs="Times New Roman"/>
        </w:rPr>
        <w:t>25</w:t>
      </w:r>
    </w:p>
    <w:p w14:paraId="2C42BC72" w14:textId="77777777" w:rsidR="003D1320" w:rsidRDefault="003D1320" w:rsidP="003D1320">
      <w:pPr>
        <w:rPr>
          <w:rFonts w:ascii="Times New Roman" w:hAnsi="Times New Roman" w:cs="Times New Roman"/>
        </w:rPr>
      </w:pPr>
    </w:p>
    <w:p w14:paraId="1744193D" w14:textId="77777777" w:rsidR="003D1320" w:rsidRDefault="003D1320" w:rsidP="003D1320">
      <w:pPr>
        <w:rPr>
          <w:rFonts w:ascii="Times New Roman" w:hAnsi="Times New Roman" w:cs="Times New Roman"/>
        </w:rPr>
      </w:pPr>
    </w:p>
    <w:p w14:paraId="2A88F900" w14:textId="77777777" w:rsidR="003D1320" w:rsidRDefault="003D1320" w:rsidP="003D1320">
      <w:pPr>
        <w:rPr>
          <w:rFonts w:ascii="Times New Roman" w:hAnsi="Times New Roman" w:cs="Times New Roman"/>
        </w:rPr>
      </w:pPr>
      <w:r>
        <w:rPr>
          <w:rFonts w:ascii="Times New Roman" w:hAnsi="Times New Roman" w:cs="Times New Roman"/>
        </w:rPr>
        <w:t>“</w:t>
      </w:r>
      <w:r w:rsidRPr="009A0D85">
        <w:rPr>
          <w:rFonts w:ascii="Times New Roman" w:hAnsi="Times New Roman" w:cs="Times New Roman"/>
          <w:i/>
          <w:iCs/>
        </w:rPr>
        <w:t>On Chastity and Martyrdom:</w:t>
      </w:r>
      <w:r>
        <w:rPr>
          <w:rFonts w:ascii="Times New Roman" w:hAnsi="Times New Roman" w:cs="Times New Roman"/>
        </w:rPr>
        <w:t xml:space="preserve"> The Veneration and Significance of the Seven Women Martyrs in the Catholic Canon”</w:t>
      </w:r>
    </w:p>
    <w:p w14:paraId="63C5458C" w14:textId="571175A7" w:rsidR="003D1320" w:rsidRDefault="003D1320" w:rsidP="003D1320">
      <w:pPr>
        <w:rPr>
          <w:rFonts w:ascii="Times New Roman" w:hAnsi="Times New Roman" w:cs="Times New Roman"/>
        </w:rPr>
      </w:pPr>
      <w:r>
        <w:rPr>
          <w:rFonts w:ascii="Times New Roman" w:hAnsi="Times New Roman" w:cs="Times New Roman"/>
        </w:rPr>
        <w:t>Annie Kelley . . . . . . . . . . . . . . . . . . . . . . . . . . . . . . . . . . . . . . . . . . . . . . . . . . . . . . . . . . . . . . . . .</w:t>
      </w:r>
      <w:r w:rsidR="00037D1A">
        <w:rPr>
          <w:rFonts w:ascii="Times New Roman" w:hAnsi="Times New Roman" w:cs="Times New Roman"/>
        </w:rPr>
        <w:t>47</w:t>
      </w:r>
    </w:p>
    <w:p w14:paraId="2209EFD1" w14:textId="77777777" w:rsidR="003D1320" w:rsidRDefault="003D1320" w:rsidP="003D1320">
      <w:pPr>
        <w:rPr>
          <w:rFonts w:ascii="Times New Roman" w:hAnsi="Times New Roman" w:cs="Times New Roman"/>
        </w:rPr>
      </w:pPr>
    </w:p>
    <w:p w14:paraId="7241E43D" w14:textId="77777777" w:rsidR="003D1320" w:rsidRDefault="003D1320" w:rsidP="003D1320">
      <w:pPr>
        <w:rPr>
          <w:rFonts w:ascii="Times New Roman" w:hAnsi="Times New Roman" w:cs="Times New Roman"/>
        </w:rPr>
      </w:pPr>
    </w:p>
    <w:p w14:paraId="64DDE4A8" w14:textId="77777777" w:rsidR="003D1320" w:rsidRPr="006B5B64" w:rsidRDefault="003D1320" w:rsidP="003D1320">
      <w:pPr>
        <w:rPr>
          <w:rFonts w:ascii="Times New Roman" w:hAnsi="Times New Roman" w:cs="Times New Roman"/>
        </w:rPr>
      </w:pPr>
      <w:r>
        <w:rPr>
          <w:rFonts w:ascii="Times New Roman" w:hAnsi="Times New Roman" w:cs="Times New Roman"/>
        </w:rPr>
        <w:t>“</w:t>
      </w:r>
      <w:r w:rsidRPr="006B5B64">
        <w:rPr>
          <w:rFonts w:ascii="Times New Roman" w:hAnsi="Times New Roman" w:cs="Times New Roman"/>
          <w:i/>
          <w:iCs/>
        </w:rPr>
        <w:t>Prophet of the Therapeutic:</w:t>
      </w:r>
      <w:r w:rsidRPr="006B5B64">
        <w:rPr>
          <w:rFonts w:ascii="Times New Roman" w:hAnsi="Times New Roman" w:cs="Times New Roman"/>
        </w:rPr>
        <w:t xml:space="preserve"> Philip Rieff and the Unmooring of Modernity</w:t>
      </w:r>
      <w:r>
        <w:rPr>
          <w:rFonts w:ascii="Times New Roman" w:hAnsi="Times New Roman" w:cs="Times New Roman"/>
        </w:rPr>
        <w:t>”</w:t>
      </w:r>
    </w:p>
    <w:p w14:paraId="2F99DB79" w14:textId="182586D9" w:rsidR="003D1320" w:rsidRPr="006B5B64" w:rsidRDefault="003D1320" w:rsidP="003D1320">
      <w:pPr>
        <w:rPr>
          <w:rFonts w:ascii="Times New Roman" w:hAnsi="Times New Roman" w:cs="Times New Roman"/>
        </w:rPr>
      </w:pPr>
      <w:r>
        <w:rPr>
          <w:rFonts w:ascii="Times New Roman" w:hAnsi="Times New Roman" w:cs="Times New Roman"/>
        </w:rPr>
        <w:t>Jacob Payne . . . . . . . . . . . . . . . . . . . . . . . . . . . . . . . . . . . . . . . . . . . . . . . . . . . . . . . . . . . . . . . . . .</w:t>
      </w:r>
      <w:r w:rsidR="00037D1A">
        <w:rPr>
          <w:rFonts w:ascii="Times New Roman" w:hAnsi="Times New Roman" w:cs="Times New Roman"/>
        </w:rPr>
        <w:t>68</w:t>
      </w:r>
    </w:p>
    <w:p w14:paraId="3C856DA6" w14:textId="77777777" w:rsidR="003D1320" w:rsidRDefault="003D1320" w:rsidP="003D1320">
      <w:pPr>
        <w:rPr>
          <w:rFonts w:ascii="Times New Roman" w:hAnsi="Times New Roman" w:cs="Times New Roman"/>
        </w:rPr>
      </w:pPr>
    </w:p>
    <w:p w14:paraId="16327922" w14:textId="77777777" w:rsidR="003D1320" w:rsidRDefault="003D1320" w:rsidP="003D1320">
      <w:pPr>
        <w:rPr>
          <w:rFonts w:ascii="Times New Roman" w:hAnsi="Times New Roman" w:cs="Times New Roman"/>
        </w:rPr>
      </w:pPr>
    </w:p>
    <w:p w14:paraId="307EEC7C" w14:textId="77777777" w:rsidR="003D1320" w:rsidRPr="004E7266" w:rsidRDefault="003D1320" w:rsidP="003D1320">
      <w:pPr>
        <w:jc w:val="center"/>
        <w:rPr>
          <w:rFonts w:ascii="Bodoni MT" w:hAnsi="Bodoni MT" w:cs="Times New Roman"/>
          <w:sz w:val="48"/>
          <w:szCs w:val="48"/>
          <w:u w:val="single"/>
        </w:rPr>
      </w:pPr>
    </w:p>
    <w:p w14:paraId="7B1EE027" w14:textId="6B7B2FD3" w:rsidR="003D1320" w:rsidRPr="004E7266" w:rsidRDefault="003D1320" w:rsidP="003D1320">
      <w:pPr>
        <w:jc w:val="center"/>
        <w:rPr>
          <w:rFonts w:ascii="Bodoni MT" w:hAnsi="Bodoni MT" w:cs="Times New Roman"/>
          <w:sz w:val="48"/>
          <w:szCs w:val="48"/>
          <w:u w:val="single"/>
        </w:rPr>
      </w:pPr>
      <w:r w:rsidRPr="004E7266">
        <w:rPr>
          <w:rFonts w:ascii="Bodoni MT" w:hAnsi="Bodoni MT" w:cs="Times New Roman"/>
          <w:sz w:val="48"/>
          <w:szCs w:val="48"/>
          <w:u w:val="single"/>
        </w:rPr>
        <w:t>Contributing Editors of the 2026 Edition</w:t>
      </w:r>
    </w:p>
    <w:p w14:paraId="2186D6BD" w14:textId="1043263E" w:rsidR="003D1320" w:rsidRPr="00A0375E" w:rsidRDefault="003D1320" w:rsidP="003D1320">
      <w:pPr>
        <w:jc w:val="center"/>
        <w:rPr>
          <w:rFonts w:ascii="Times New Roman" w:hAnsi="Times New Roman" w:cs="Times New Roman"/>
        </w:rPr>
      </w:pPr>
      <w:r w:rsidRPr="00A0375E">
        <w:rPr>
          <w:rFonts w:ascii="Times New Roman" w:hAnsi="Times New Roman" w:cs="Times New Roman"/>
          <w:b/>
          <w:bCs/>
        </w:rPr>
        <w:t>Sarah Chew</w:t>
      </w:r>
      <w:r w:rsidRPr="00A0375E">
        <w:rPr>
          <w:rFonts w:ascii="Times New Roman" w:hAnsi="Times New Roman" w:cs="Times New Roman"/>
        </w:rPr>
        <w:t xml:space="preserve">, English and Philosophy Double Major, </w:t>
      </w:r>
      <w:r>
        <w:rPr>
          <w:rFonts w:ascii="Times New Roman" w:hAnsi="Times New Roman" w:cs="Times New Roman"/>
        </w:rPr>
        <w:t>class of</w:t>
      </w:r>
      <w:r w:rsidRPr="00A0375E">
        <w:rPr>
          <w:rFonts w:ascii="Times New Roman" w:hAnsi="Times New Roman" w:cs="Times New Roman"/>
        </w:rPr>
        <w:t xml:space="preserve"> 2025</w:t>
      </w:r>
    </w:p>
    <w:p w14:paraId="4CE8C842" w14:textId="77777777" w:rsidR="003D1320" w:rsidRPr="00A0375E" w:rsidRDefault="003D1320" w:rsidP="003D1320">
      <w:pPr>
        <w:jc w:val="center"/>
        <w:rPr>
          <w:rFonts w:ascii="Times New Roman" w:hAnsi="Times New Roman" w:cs="Times New Roman"/>
        </w:rPr>
      </w:pPr>
      <w:r w:rsidRPr="00A0375E">
        <w:rPr>
          <w:rFonts w:ascii="Times New Roman" w:hAnsi="Times New Roman" w:cs="Times New Roman"/>
          <w:b/>
          <w:bCs/>
        </w:rPr>
        <w:t>Emma Mikell</w:t>
      </w:r>
      <w:r w:rsidRPr="00A0375E">
        <w:rPr>
          <w:rFonts w:ascii="Times New Roman" w:hAnsi="Times New Roman" w:cs="Times New Roman"/>
        </w:rPr>
        <w:t xml:space="preserve">, English and Classics Double Major, </w:t>
      </w:r>
      <w:r>
        <w:rPr>
          <w:rFonts w:ascii="Times New Roman" w:hAnsi="Times New Roman" w:cs="Times New Roman"/>
        </w:rPr>
        <w:t xml:space="preserve">class of </w:t>
      </w:r>
      <w:r w:rsidRPr="00A0375E">
        <w:rPr>
          <w:rFonts w:ascii="Times New Roman" w:hAnsi="Times New Roman" w:cs="Times New Roman"/>
        </w:rPr>
        <w:t>2025</w:t>
      </w:r>
    </w:p>
    <w:p w14:paraId="19575D47" w14:textId="77777777" w:rsidR="003D1320" w:rsidRPr="00A0375E" w:rsidRDefault="003D1320" w:rsidP="003D1320">
      <w:pPr>
        <w:jc w:val="center"/>
        <w:rPr>
          <w:rFonts w:ascii="Times New Roman" w:hAnsi="Times New Roman" w:cs="Times New Roman"/>
        </w:rPr>
      </w:pPr>
      <w:r w:rsidRPr="00A0375E">
        <w:rPr>
          <w:rFonts w:ascii="Times New Roman" w:hAnsi="Times New Roman" w:cs="Times New Roman"/>
          <w:b/>
          <w:bCs/>
        </w:rPr>
        <w:t>Preston Brent</w:t>
      </w:r>
      <w:r w:rsidRPr="00A0375E">
        <w:rPr>
          <w:rFonts w:ascii="Times New Roman" w:hAnsi="Times New Roman" w:cs="Times New Roman"/>
        </w:rPr>
        <w:t xml:space="preserve">, English and Philosophy Double Major, </w:t>
      </w:r>
      <w:r>
        <w:rPr>
          <w:rFonts w:ascii="Times New Roman" w:hAnsi="Times New Roman" w:cs="Times New Roman"/>
        </w:rPr>
        <w:t>class of 2025</w:t>
      </w:r>
    </w:p>
    <w:p w14:paraId="47A22357" w14:textId="77777777" w:rsidR="003D1320" w:rsidRDefault="003D1320" w:rsidP="003D1320">
      <w:pPr>
        <w:jc w:val="center"/>
        <w:rPr>
          <w:rFonts w:ascii="Times New Roman" w:hAnsi="Times New Roman" w:cs="Times New Roman"/>
        </w:rPr>
      </w:pPr>
      <w:r w:rsidRPr="00A0375E">
        <w:rPr>
          <w:rFonts w:ascii="Times New Roman" w:hAnsi="Times New Roman" w:cs="Times New Roman"/>
          <w:b/>
          <w:bCs/>
        </w:rPr>
        <w:t>Lillie Inman</w:t>
      </w:r>
      <w:r w:rsidRPr="00A0375E">
        <w:rPr>
          <w:rFonts w:ascii="Times New Roman" w:hAnsi="Times New Roman" w:cs="Times New Roman"/>
        </w:rPr>
        <w:t>, Law, Politics, and Society Major,</w:t>
      </w:r>
      <w:r>
        <w:rPr>
          <w:rFonts w:ascii="Times New Roman" w:hAnsi="Times New Roman" w:cs="Times New Roman"/>
        </w:rPr>
        <w:t xml:space="preserve"> class of 2025</w:t>
      </w:r>
    </w:p>
    <w:p w14:paraId="3232A370" w14:textId="77777777" w:rsidR="003D1320" w:rsidRPr="00B6398B" w:rsidRDefault="003D1320" w:rsidP="003D1320">
      <w:pPr>
        <w:jc w:val="center"/>
        <w:rPr>
          <w:rFonts w:ascii="Times New Roman" w:hAnsi="Times New Roman" w:cs="Times New Roman"/>
          <w:b/>
          <w:bCs/>
          <w:i/>
          <w:iCs/>
        </w:rPr>
      </w:pPr>
      <w:r w:rsidRPr="00B6398B">
        <w:rPr>
          <w:rFonts w:ascii="Times New Roman" w:hAnsi="Times New Roman" w:cs="Times New Roman"/>
          <w:b/>
          <w:bCs/>
          <w:i/>
          <w:iCs/>
        </w:rPr>
        <w:t>Commissioned and Directed by Dr. Todd Krulak</w:t>
      </w:r>
    </w:p>
    <w:p w14:paraId="5BB4C991" w14:textId="77777777" w:rsidR="003D1320" w:rsidRDefault="003D1320" w:rsidP="003D1320">
      <w:pPr>
        <w:jc w:val="center"/>
        <w:rPr>
          <w:rFonts w:ascii="Times New Roman" w:hAnsi="Times New Roman" w:cs="Times New Roman"/>
        </w:rPr>
      </w:pPr>
    </w:p>
    <w:p w14:paraId="41A59D43" w14:textId="77777777" w:rsidR="003D1320" w:rsidRDefault="003D1320" w:rsidP="003D1320">
      <w:pPr>
        <w:rPr>
          <w:rFonts w:ascii="Times New Roman" w:hAnsi="Times New Roman" w:cs="Times New Roman"/>
        </w:rPr>
      </w:pPr>
    </w:p>
    <w:p w14:paraId="098EE82A" w14:textId="77777777" w:rsidR="003D1320" w:rsidRDefault="003D1320" w:rsidP="003D1320">
      <w:pPr>
        <w:rPr>
          <w:rFonts w:ascii="Times New Roman" w:hAnsi="Times New Roman" w:cs="Times New Roman"/>
        </w:rPr>
      </w:pPr>
    </w:p>
    <w:p w14:paraId="4A6D380C" w14:textId="77777777" w:rsidR="003D1320" w:rsidRDefault="003D1320" w:rsidP="003D1320">
      <w:pPr>
        <w:rPr>
          <w:rFonts w:ascii="Times New Roman" w:hAnsi="Times New Roman" w:cs="Times New Roman"/>
        </w:rPr>
      </w:pPr>
    </w:p>
    <w:p w14:paraId="5B0C0551" w14:textId="77777777" w:rsidR="003D1320" w:rsidRDefault="003D1320" w:rsidP="003D1320">
      <w:pPr>
        <w:rPr>
          <w:rFonts w:ascii="Times New Roman" w:hAnsi="Times New Roman" w:cs="Times New Roman"/>
        </w:rPr>
      </w:pPr>
    </w:p>
    <w:p w14:paraId="086910DE" w14:textId="77777777" w:rsidR="003D1320" w:rsidRDefault="003D1320" w:rsidP="007873AF">
      <w:pPr>
        <w:jc w:val="center"/>
        <w:rPr>
          <w:rFonts w:ascii="Times New Roman" w:hAnsi="Times New Roman" w:cs="Times New Roman"/>
        </w:rPr>
      </w:pPr>
    </w:p>
    <w:p w14:paraId="10508AAA" w14:textId="77777777" w:rsidR="004E7266" w:rsidRDefault="004E7266" w:rsidP="007873AF">
      <w:pPr>
        <w:jc w:val="center"/>
        <w:rPr>
          <w:rFonts w:ascii="Bodoni MT" w:hAnsi="Bodoni MT" w:cs="Times New Roman"/>
          <w:sz w:val="48"/>
          <w:szCs w:val="48"/>
          <w:u w:val="single"/>
        </w:rPr>
      </w:pPr>
    </w:p>
    <w:p w14:paraId="5CF3BED4" w14:textId="77777777" w:rsidR="00AA6DD9" w:rsidRDefault="00AA6DD9" w:rsidP="007873AF">
      <w:pPr>
        <w:jc w:val="center"/>
        <w:rPr>
          <w:rFonts w:ascii="Bodoni MT" w:hAnsi="Bodoni MT" w:cs="Times New Roman"/>
          <w:sz w:val="48"/>
          <w:szCs w:val="48"/>
          <w:u w:val="single"/>
        </w:rPr>
      </w:pPr>
    </w:p>
    <w:p w14:paraId="041FD261" w14:textId="7C36CA17" w:rsidR="007873AF" w:rsidRPr="007873AF" w:rsidRDefault="007873AF" w:rsidP="007873AF">
      <w:pPr>
        <w:jc w:val="center"/>
        <w:rPr>
          <w:rFonts w:ascii="Bodoni MT" w:hAnsi="Bodoni MT" w:cs="Times New Roman"/>
          <w:sz w:val="48"/>
          <w:szCs w:val="48"/>
          <w:u w:val="single"/>
        </w:rPr>
      </w:pPr>
      <w:r w:rsidRPr="007873AF">
        <w:rPr>
          <w:rFonts w:ascii="Bodoni MT" w:hAnsi="Bodoni MT" w:cs="Times New Roman"/>
          <w:sz w:val="48"/>
          <w:szCs w:val="48"/>
          <w:u w:val="single"/>
        </w:rPr>
        <w:t>Distinguished Authors of the 2026 Edition</w:t>
      </w:r>
    </w:p>
    <w:p w14:paraId="692B9E71" w14:textId="77777777" w:rsidR="007873AF" w:rsidRDefault="007873AF" w:rsidP="007873AF">
      <w:pPr>
        <w:rPr>
          <w:rFonts w:ascii="Bodoni MT" w:hAnsi="Bodoni MT" w:cs="Times New Roman"/>
          <w:sz w:val="48"/>
          <w:szCs w:val="48"/>
        </w:rPr>
      </w:pPr>
    </w:p>
    <w:p w14:paraId="0C095A4B" w14:textId="535878D1" w:rsidR="007873AF" w:rsidRPr="00A0375E" w:rsidRDefault="007873AF" w:rsidP="007873AF">
      <w:pPr>
        <w:rPr>
          <w:rFonts w:ascii="Times New Roman" w:hAnsi="Times New Roman" w:cs="Times New Roman"/>
        </w:rPr>
      </w:pPr>
      <w:r w:rsidRPr="000C5D48">
        <w:rPr>
          <w:rFonts w:ascii="Bodoni MT" w:hAnsi="Bodoni MT" w:cs="Times New Roman"/>
          <w:b/>
          <w:bCs/>
        </w:rPr>
        <w:t>Wesley Brown</w:t>
      </w:r>
      <w:r>
        <w:rPr>
          <w:rFonts w:ascii="Times New Roman" w:hAnsi="Times New Roman" w:cs="Times New Roman"/>
        </w:rPr>
        <w:t xml:space="preserve"> (class of ‘25) is o</w:t>
      </w:r>
      <w:r w:rsidRPr="000C5D48">
        <w:rPr>
          <w:rFonts w:ascii="Times New Roman" w:hAnsi="Times New Roman" w:cs="Times New Roman"/>
        </w:rPr>
        <w:t xml:space="preserve">riginally from Columbus, Georgia, spent his first three years of undergrad at Birmingham-Southern College. While there he played football and was a member of the Honor Council, Wesley Fellowship, Theta Alpha Kappa Honor Society, Phi Alpha Theta Honor Society, Worship team, orientation team, Alpha Tau Omega Fraternity, Writing Center, and Religion Tutor center. After BSC’s closure he finished his degree at Samford majoring in Biblical and Religious Studies and graduating Magna Cum Laude. He will soon be a student at Cumberland University and hopes to pursue law centered around religious non-profits. </w:t>
      </w:r>
    </w:p>
    <w:p w14:paraId="37DE61C8" w14:textId="77777777" w:rsidR="00171C6C" w:rsidRDefault="00171C6C" w:rsidP="007873AF">
      <w:pPr>
        <w:rPr>
          <w:rFonts w:ascii="Bodoni MT" w:hAnsi="Bodoni MT" w:cs="Times New Roman"/>
          <w:b/>
          <w:bCs/>
        </w:rPr>
      </w:pPr>
    </w:p>
    <w:p w14:paraId="5DD9A4AB" w14:textId="38190A2A" w:rsidR="007873AF" w:rsidRDefault="007873AF" w:rsidP="007873AF">
      <w:pPr>
        <w:rPr>
          <w:rFonts w:ascii="Bodoni MT" w:hAnsi="Bodoni MT" w:cs="Times New Roman"/>
          <w:b/>
          <w:bCs/>
        </w:rPr>
      </w:pPr>
      <w:r>
        <w:rPr>
          <w:rFonts w:ascii="Bodoni MT" w:hAnsi="Bodoni MT" w:cs="Times New Roman"/>
          <w:b/>
          <w:bCs/>
        </w:rPr>
        <w:t xml:space="preserve">C.G. Daniels </w:t>
      </w:r>
      <w:r w:rsidRPr="00F322C8">
        <w:rPr>
          <w:rFonts w:ascii="Times New Roman" w:hAnsi="Times New Roman" w:cs="Times New Roman"/>
        </w:rPr>
        <w:t>(class of ’25)</w:t>
      </w:r>
      <w:r w:rsidR="00F322C8" w:rsidRPr="00F322C8">
        <w:rPr>
          <w:rFonts w:ascii="Times New Roman" w:hAnsi="Times New Roman" w:cs="Times New Roman"/>
        </w:rPr>
        <w:t xml:space="preserve"> </w:t>
      </w:r>
      <w:r w:rsidR="00F322C8" w:rsidRPr="00F322C8">
        <w:rPr>
          <w:rFonts w:ascii="Times New Roman" w:hAnsi="Times New Roman" w:cs="Times New Roman"/>
          <w:color w:val="000000"/>
          <w:shd w:val="clear" w:color="auto" w:fill="FFFFFF"/>
        </w:rPr>
        <w:t>The author is a Geographer and Samford University alumnus with a minor in Sociology. He served honorably in the United States Marine Corps as both an infantryman and as an intelligence analyst, gaining operational experience across a range of international conflict zones. His professional background includes participation in direct-action operations in Afghanistan, diplomatic assignments in West Asia, and his current work as a security professional. He is continuing his academic journey as a graduate student in International Security at the Sam Nunn School of International Affairs at Georgia Institute of Technology, where his research interests center on geopolitics and global security structures.</w:t>
      </w:r>
    </w:p>
    <w:p w14:paraId="018F2185" w14:textId="77777777" w:rsidR="007873AF" w:rsidRDefault="007873AF" w:rsidP="007873AF">
      <w:pPr>
        <w:rPr>
          <w:rFonts w:ascii="Bodoni MT" w:hAnsi="Bodoni MT" w:cs="Times New Roman"/>
          <w:b/>
          <w:bCs/>
        </w:rPr>
      </w:pPr>
    </w:p>
    <w:p w14:paraId="6B05A648" w14:textId="77777777" w:rsidR="007873AF" w:rsidRDefault="007873AF" w:rsidP="007873AF">
      <w:pPr>
        <w:rPr>
          <w:rFonts w:ascii="Times New Roman" w:hAnsi="Times New Roman" w:cs="Times New Roman"/>
        </w:rPr>
      </w:pPr>
      <w:r>
        <w:rPr>
          <w:rFonts w:ascii="Bodoni MT" w:hAnsi="Bodoni MT" w:cs="Times New Roman"/>
          <w:b/>
          <w:bCs/>
        </w:rPr>
        <w:t>Annie Kelley</w:t>
      </w:r>
      <w:r>
        <w:rPr>
          <w:rFonts w:ascii="Times New Roman" w:hAnsi="Times New Roman" w:cs="Times New Roman"/>
        </w:rPr>
        <w:t xml:space="preserve"> (class of ‘25)</w:t>
      </w:r>
      <w:r w:rsidRPr="000C5D48">
        <w:rPr>
          <w:rFonts w:ascii="Times New Roman" w:hAnsi="Times New Roman" w:cs="Times New Roman"/>
        </w:rPr>
        <w:t xml:space="preserve"> is a history major from Columbia, Tennessee with a double minor in philosophy and race, ethnicity, and social justice. Annie has been very active on Samford’s campus. She is a University Fellow, Stockham Scholar, and Howard Scholar. She has served on the executive team for multiple student organizations on campus including Phi Alpha Theta, Mock Trial,</w:t>
      </w:r>
      <w:r>
        <w:rPr>
          <w:rFonts w:ascii="Times New Roman" w:hAnsi="Times New Roman" w:cs="Times New Roman"/>
        </w:rPr>
        <w:t xml:space="preserve"> </w:t>
      </w:r>
      <w:r w:rsidRPr="000C5D48">
        <w:rPr>
          <w:rFonts w:ascii="Times New Roman" w:hAnsi="Times New Roman" w:cs="Times New Roman"/>
        </w:rPr>
        <w:t>League of Women Voters, Chinese Students and Scholars Association, and First-Generation</w:t>
      </w:r>
      <w:r>
        <w:rPr>
          <w:rFonts w:ascii="Times New Roman" w:hAnsi="Times New Roman" w:cs="Times New Roman"/>
        </w:rPr>
        <w:t xml:space="preserve"> </w:t>
      </w:r>
      <w:r w:rsidRPr="000C5D48">
        <w:rPr>
          <w:rFonts w:ascii="Times New Roman" w:hAnsi="Times New Roman" w:cs="Times New Roman"/>
        </w:rPr>
        <w:t>Students Club. Annie worked at Samford’s Special Collections and Technology Services.</w:t>
      </w:r>
      <w:r>
        <w:rPr>
          <w:rFonts w:ascii="Times New Roman" w:hAnsi="Times New Roman" w:cs="Times New Roman"/>
        </w:rPr>
        <w:t xml:space="preserve"> </w:t>
      </w:r>
      <w:r w:rsidRPr="000C5D48">
        <w:rPr>
          <w:rFonts w:ascii="Times New Roman" w:hAnsi="Times New Roman" w:cs="Times New Roman"/>
        </w:rPr>
        <w:t>Recently, Annie received the Velma Wright Irons Award and the John C. Pittman Spirit Award. She also enjoys baking, making Chinese dumplings, spending time with her family and friends, playing games</w:t>
      </w:r>
      <w:r>
        <w:rPr>
          <w:rFonts w:ascii="Times New Roman" w:hAnsi="Times New Roman" w:cs="Times New Roman"/>
        </w:rPr>
        <w:t>,</w:t>
      </w:r>
      <w:r w:rsidRPr="000C5D48">
        <w:rPr>
          <w:rFonts w:ascii="Times New Roman" w:hAnsi="Times New Roman" w:cs="Times New Roman"/>
        </w:rPr>
        <w:t xml:space="preserve"> including volleyball, and reading.</w:t>
      </w:r>
    </w:p>
    <w:p w14:paraId="52C9167C" w14:textId="77777777" w:rsidR="007873AF" w:rsidRDefault="007873AF" w:rsidP="007873AF">
      <w:pPr>
        <w:rPr>
          <w:rFonts w:ascii="Times New Roman" w:hAnsi="Times New Roman" w:cs="Times New Roman"/>
        </w:rPr>
      </w:pPr>
    </w:p>
    <w:p w14:paraId="077081DF" w14:textId="77777777" w:rsidR="007873AF" w:rsidRPr="00ED6593" w:rsidRDefault="007873AF" w:rsidP="007873AF">
      <w:pPr>
        <w:rPr>
          <w:rFonts w:ascii="Times New Roman" w:hAnsi="Times New Roman" w:cs="Times New Roman"/>
        </w:rPr>
      </w:pPr>
      <w:r w:rsidRPr="0034628F">
        <w:rPr>
          <w:rFonts w:ascii="Bodoni MT" w:hAnsi="Bodoni MT" w:cs="Times New Roman"/>
          <w:b/>
          <w:bCs/>
        </w:rPr>
        <w:t>Jacob Payne</w:t>
      </w:r>
      <w:r>
        <w:rPr>
          <w:rFonts w:ascii="Bodoni MT" w:hAnsi="Bodoni MT" w:cs="Times New Roman"/>
          <w:b/>
          <w:bCs/>
        </w:rPr>
        <w:t xml:space="preserve">, </w:t>
      </w:r>
      <w:r w:rsidRPr="00ED6593">
        <w:rPr>
          <w:rFonts w:ascii="Times New Roman" w:hAnsi="Times New Roman" w:cs="Times New Roman"/>
        </w:rPr>
        <w:t xml:space="preserve">originally hailing from South Bend, Indiana, is a senior studying history at the Howard College of Arts and Sciences. A Stockham and Howard Scholar, he also participates on campus as president of Samford’s student chapter of the Intercollegiate Studies Institute, </w:t>
      </w:r>
      <w:r w:rsidRPr="00ED6593">
        <w:rPr>
          <w:rFonts w:ascii="Times New Roman" w:hAnsi="Times New Roman" w:cs="Times New Roman"/>
          <w:i/>
          <w:iCs/>
        </w:rPr>
        <w:t>Fides et Ratio</w:t>
      </w:r>
      <w:r w:rsidRPr="00ED6593">
        <w:rPr>
          <w:rFonts w:ascii="Times New Roman" w:hAnsi="Times New Roman" w:cs="Times New Roman"/>
        </w:rPr>
        <w:t>. After graduation, he plans to pursue his master's degree at Pepperdine's School of Public Policy in Malibu, California.</w:t>
      </w:r>
    </w:p>
    <w:p w14:paraId="5B37F894" w14:textId="77777777" w:rsidR="00603F24" w:rsidRDefault="00603F24" w:rsidP="00603F24">
      <w:pPr>
        <w:pBdr>
          <w:top w:val="none" w:sz="0" w:space="0" w:color="E3E3E3"/>
          <w:left w:val="none" w:sz="0" w:space="0" w:color="E3E3E3"/>
          <w:bottom w:val="none" w:sz="0" w:space="0" w:color="E3E3E3"/>
          <w:right w:val="none" w:sz="0" w:space="0" w:color="E3E3E3"/>
          <w:between w:val="none" w:sz="0" w:space="0" w:color="E3E3E3"/>
        </w:pBdr>
        <w:spacing w:before="120" w:after="120" w:line="276" w:lineRule="auto"/>
        <w:rPr>
          <w:rFonts w:ascii="Times New Roman" w:eastAsia="Times New Roman" w:hAnsi="Times New Roman" w:cs="Times New Roman"/>
          <w:b/>
          <w:bCs/>
        </w:rPr>
      </w:pPr>
    </w:p>
    <w:p w14:paraId="3B1F06F5" w14:textId="77777777" w:rsidR="004F4486" w:rsidRDefault="004F4486" w:rsidP="0012419F">
      <w:pPr>
        <w:pBdr>
          <w:top w:val="none" w:sz="0" w:space="0" w:color="E3E3E3"/>
          <w:left w:val="none" w:sz="0" w:space="0" w:color="E3E3E3"/>
          <w:bottom w:val="none" w:sz="0" w:space="0" w:color="E3E3E3"/>
          <w:right w:val="none" w:sz="0" w:space="0" w:color="E3E3E3"/>
          <w:between w:val="none" w:sz="0" w:space="0" w:color="E3E3E3"/>
        </w:pBdr>
        <w:spacing w:before="120" w:after="120" w:line="276" w:lineRule="auto"/>
        <w:rPr>
          <w:rFonts w:ascii="Times New Roman" w:eastAsia="Times New Roman" w:hAnsi="Times New Roman" w:cs="Times New Roman"/>
          <w:b/>
          <w:bCs/>
          <w:u w:val="single"/>
        </w:rPr>
      </w:pPr>
    </w:p>
    <w:p w14:paraId="446525BB" w14:textId="77777777" w:rsidR="007873AF" w:rsidRDefault="007873AF" w:rsidP="0012419F">
      <w:pPr>
        <w:pBdr>
          <w:top w:val="none" w:sz="0" w:space="0" w:color="E3E3E3"/>
          <w:left w:val="none" w:sz="0" w:space="0" w:color="E3E3E3"/>
          <w:bottom w:val="none" w:sz="0" w:space="0" w:color="E3E3E3"/>
          <w:right w:val="none" w:sz="0" w:space="0" w:color="E3E3E3"/>
          <w:between w:val="none" w:sz="0" w:space="0" w:color="E3E3E3"/>
        </w:pBdr>
        <w:spacing w:before="120" w:after="120" w:line="276" w:lineRule="auto"/>
        <w:rPr>
          <w:rFonts w:ascii="Times New Roman" w:eastAsia="Times New Roman" w:hAnsi="Times New Roman" w:cs="Times New Roman"/>
          <w:b/>
          <w:bCs/>
          <w:u w:val="single"/>
        </w:rPr>
      </w:pPr>
    </w:p>
    <w:p w14:paraId="052909FC" w14:textId="77777777" w:rsidR="007873AF" w:rsidRDefault="007873AF" w:rsidP="0012419F">
      <w:pPr>
        <w:pBdr>
          <w:top w:val="none" w:sz="0" w:space="0" w:color="E3E3E3"/>
          <w:left w:val="none" w:sz="0" w:space="0" w:color="E3E3E3"/>
          <w:bottom w:val="none" w:sz="0" w:space="0" w:color="E3E3E3"/>
          <w:right w:val="none" w:sz="0" w:space="0" w:color="E3E3E3"/>
          <w:between w:val="none" w:sz="0" w:space="0" w:color="E3E3E3"/>
        </w:pBdr>
        <w:spacing w:before="120" w:after="120" w:line="276" w:lineRule="auto"/>
        <w:rPr>
          <w:rFonts w:ascii="Times New Roman" w:eastAsia="Times New Roman" w:hAnsi="Times New Roman" w:cs="Times New Roman"/>
          <w:b/>
          <w:bCs/>
          <w:u w:val="single"/>
        </w:rPr>
      </w:pPr>
    </w:p>
    <w:p w14:paraId="45A535EA" w14:textId="77777777" w:rsidR="00AA1FD2" w:rsidRDefault="00AA1FD2" w:rsidP="0012419F">
      <w:pPr>
        <w:pBdr>
          <w:top w:val="none" w:sz="0" w:space="0" w:color="E3E3E3"/>
          <w:left w:val="none" w:sz="0" w:space="0" w:color="E3E3E3"/>
          <w:bottom w:val="none" w:sz="0" w:space="0" w:color="E3E3E3"/>
          <w:right w:val="none" w:sz="0" w:space="0" w:color="E3E3E3"/>
          <w:between w:val="none" w:sz="0" w:space="0" w:color="E3E3E3"/>
        </w:pBdr>
        <w:spacing w:before="120" w:after="120" w:line="276" w:lineRule="auto"/>
        <w:rPr>
          <w:rFonts w:ascii="Times New Roman" w:eastAsia="Times New Roman" w:hAnsi="Times New Roman" w:cs="Times New Roman"/>
          <w:b/>
          <w:bCs/>
        </w:rPr>
      </w:pPr>
    </w:p>
    <w:p w14:paraId="1F1B4E92" w14:textId="77777777" w:rsidR="00037D1A" w:rsidRDefault="00037D1A" w:rsidP="00776662">
      <w:pPr>
        <w:rPr>
          <w:rFonts w:ascii="Bodoni MT" w:hAnsi="Bodoni MT" w:cs="Times New Roman"/>
          <w:i/>
          <w:iCs/>
          <w:sz w:val="40"/>
          <w:szCs w:val="40"/>
        </w:rPr>
      </w:pPr>
    </w:p>
    <w:p w14:paraId="16613F84" w14:textId="33CB7384" w:rsidR="00776662" w:rsidRDefault="002735A7" w:rsidP="00776662">
      <w:pPr>
        <w:rPr>
          <w:rFonts w:ascii="Bodoni MT" w:hAnsi="Bodoni MT" w:cs="Times New Roman"/>
          <w:i/>
          <w:iCs/>
          <w:sz w:val="40"/>
          <w:szCs w:val="40"/>
        </w:rPr>
      </w:pPr>
      <w:r>
        <w:rPr>
          <w:rFonts w:ascii="Bodoni MT" w:hAnsi="Bodoni MT" w:cs="Times New Roman"/>
          <w:i/>
          <w:iCs/>
          <w:sz w:val="40"/>
          <w:szCs w:val="40"/>
        </w:rPr>
        <w:t>Writing Beyond the Word</w:t>
      </w:r>
    </w:p>
    <w:p w14:paraId="2BCE5FA1" w14:textId="6D7AE0D9" w:rsidR="00776662" w:rsidRPr="00E61647" w:rsidRDefault="002735A7" w:rsidP="00776662">
      <w:pPr>
        <w:rPr>
          <w:rFonts w:ascii="Bodoni MT" w:hAnsi="Bodoni MT" w:cs="Times New Roman"/>
          <w:i/>
          <w:iCs/>
          <w:sz w:val="32"/>
          <w:szCs w:val="32"/>
        </w:rPr>
      </w:pPr>
      <w:r>
        <w:rPr>
          <w:rFonts w:ascii="Bodoni MT" w:hAnsi="Bodoni MT" w:cs="Times New Roman"/>
          <w:sz w:val="32"/>
          <w:szCs w:val="32"/>
        </w:rPr>
        <w:lastRenderedPageBreak/>
        <w:t xml:space="preserve">Tolkien’s </w:t>
      </w:r>
      <w:r w:rsidR="001373F1">
        <w:rPr>
          <w:rFonts w:ascii="Bodoni MT" w:hAnsi="Bodoni MT" w:cs="Times New Roman"/>
          <w:sz w:val="32"/>
          <w:szCs w:val="32"/>
        </w:rPr>
        <w:t xml:space="preserve">Critique of Ascetic Morals in </w:t>
      </w:r>
      <w:r w:rsidR="004C2E2D">
        <w:rPr>
          <w:rFonts w:ascii="Bodoni MT" w:hAnsi="Bodoni MT" w:cs="Times New Roman"/>
          <w:sz w:val="32"/>
          <w:szCs w:val="32"/>
        </w:rPr>
        <w:t>Medieval Heroic Chivalry</w:t>
      </w:r>
    </w:p>
    <w:p w14:paraId="27377191" w14:textId="64F2C999" w:rsidR="00776662" w:rsidRPr="00BB2859" w:rsidRDefault="00E020A8" w:rsidP="00776662">
      <w:pPr>
        <w:rPr>
          <w:rFonts w:ascii="Times New Roman" w:hAnsi="Times New Roman" w:cs="Times New Roman"/>
        </w:rPr>
      </w:pPr>
      <w:r>
        <w:rPr>
          <w:rFonts w:ascii="Bodoni MT" w:hAnsi="Bodoni MT" w:cs="Times New Roman"/>
        </w:rPr>
        <w:t>Wesley Brown</w:t>
      </w:r>
    </w:p>
    <w:p w14:paraId="150C857F" w14:textId="77777777" w:rsidR="00776662" w:rsidRDefault="00776662" w:rsidP="00776662">
      <w:pPr>
        <w:rPr>
          <w:rFonts w:ascii="Bodoni MT" w:hAnsi="Bodoni MT" w:cs="Times New Roman"/>
          <w:sz w:val="48"/>
          <w:szCs w:val="48"/>
        </w:rPr>
      </w:pPr>
    </w:p>
    <w:p w14:paraId="245C0D1D" w14:textId="140D2303" w:rsidR="00E020A8" w:rsidRDefault="00776662" w:rsidP="00776662">
      <w:pPr>
        <w:rPr>
          <w:rFonts w:ascii="Bodoni MT" w:hAnsi="Bodoni MT" w:cs="Times New Roman"/>
          <w:i/>
          <w:iCs/>
          <w:sz w:val="32"/>
          <w:szCs w:val="32"/>
        </w:rPr>
      </w:pPr>
      <w:r>
        <w:rPr>
          <w:rFonts w:ascii="Bodoni MT" w:hAnsi="Bodoni MT" w:cs="Times New Roman"/>
          <w:i/>
          <w:iCs/>
          <w:noProof/>
          <w:sz w:val="32"/>
          <w:szCs w:val="32"/>
        </w:rPr>
        <mc:AlternateContent>
          <mc:Choice Requires="wps">
            <w:drawing>
              <wp:anchor distT="0" distB="0" distL="114300" distR="114300" simplePos="0" relativeHeight="251664384" behindDoc="0" locked="0" layoutInCell="1" allowOverlap="1" wp14:anchorId="26FCAD33" wp14:editId="468D545F">
                <wp:simplePos x="0" y="0"/>
                <wp:positionH relativeFrom="margin">
                  <wp:posOffset>683741</wp:posOffset>
                </wp:positionH>
                <wp:positionV relativeFrom="paragraph">
                  <wp:posOffset>185849</wp:posOffset>
                </wp:positionV>
                <wp:extent cx="5272216" cy="0"/>
                <wp:effectExtent l="0" t="0" r="0" b="0"/>
                <wp:wrapNone/>
                <wp:docPr id="308666822" name="Straight Connector 2"/>
                <wp:cNvGraphicFramePr/>
                <a:graphic xmlns:a="http://schemas.openxmlformats.org/drawingml/2006/main">
                  <a:graphicData uri="http://schemas.microsoft.com/office/word/2010/wordprocessingShape">
                    <wps:wsp>
                      <wps:cNvCnPr/>
                      <wps:spPr>
                        <a:xfrm>
                          <a:off x="0" y="0"/>
                          <a:ext cx="5272216"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C73826C"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85pt,14.65pt" to="469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" strokecolor="black [3200]" strokeweight="1pt">
                <v:stroke joinstyle="miter"/>
                <w10:wrap anchorx="margin"/>
              </v:line>
            </w:pict>
          </mc:Fallback>
        </mc:AlternateContent>
      </w:r>
      <w:r w:rsidRPr="00751207">
        <w:rPr>
          <w:rFonts w:ascii="Bodoni MT" w:hAnsi="Bodoni MT" w:cs="Times New Roman"/>
          <w:i/>
          <w:iCs/>
          <w:sz w:val="32"/>
          <w:szCs w:val="32"/>
        </w:rPr>
        <w:t>Abstract</w:t>
      </w:r>
    </w:p>
    <w:p w14:paraId="05325F27" w14:textId="01F9E3E0" w:rsidR="00E020A8" w:rsidRDefault="00E020A8" w:rsidP="00E020A8">
      <w:pPr>
        <w:spacing w:line="276" w:lineRule="auto"/>
        <w:ind w:firstLine="720"/>
        <w:rPr>
          <w:rFonts w:ascii="Times New Roman" w:eastAsia="Times New Roman" w:hAnsi="Times New Roman" w:cs="Times New Roman"/>
          <w:highlight w:val="white"/>
        </w:rPr>
      </w:pPr>
      <w:r>
        <w:rPr>
          <w:rFonts w:ascii="Times New Roman" w:eastAsia="Times New Roman" w:hAnsi="Times New Roman" w:cs="Times New Roman"/>
        </w:rPr>
        <w:t xml:space="preserve">J.R.R. Tolkien, a medievalist, philologist, and prolific writer, engaged deeply with the concept of chivalry in his writings, both revering and critiquing its evolution. While medieval chivalry emerged as a blend of military, feudal, and Christian ideals, Tolkien took issue with its increasing emphasis on suffering as a prerequisite for heroism. This paper explores Tolkien’s critique of the ascetic ideals within chivalry by analyzing his lesser-known works: </w:t>
      </w:r>
      <w:r>
        <w:rPr>
          <w:rFonts w:ascii="Times New Roman" w:eastAsia="Times New Roman" w:hAnsi="Times New Roman" w:cs="Times New Roman"/>
          <w:i/>
        </w:rPr>
        <w:t>The Homecoming of Beorhtnoth</w:t>
      </w:r>
      <w:r>
        <w:rPr>
          <w:rFonts w:ascii="Times New Roman" w:eastAsia="Times New Roman" w:hAnsi="Times New Roman" w:cs="Times New Roman"/>
        </w:rPr>
        <w:t xml:space="preserve">, </w:t>
      </w:r>
      <w:r>
        <w:rPr>
          <w:rFonts w:ascii="Times New Roman" w:eastAsia="Times New Roman" w:hAnsi="Times New Roman" w:cs="Times New Roman"/>
          <w:i/>
        </w:rPr>
        <w:t>The Lay of Aotrou and Itroun</w:t>
      </w:r>
      <w:r>
        <w:rPr>
          <w:rFonts w:ascii="Times New Roman" w:eastAsia="Times New Roman" w:hAnsi="Times New Roman" w:cs="Times New Roman"/>
        </w:rPr>
        <w:t xml:space="preserve">, and </w:t>
      </w:r>
      <w:r>
        <w:rPr>
          <w:rFonts w:ascii="Times New Roman" w:eastAsia="Times New Roman" w:hAnsi="Times New Roman" w:cs="Times New Roman"/>
          <w:i/>
        </w:rPr>
        <w:t>The Fall of Arthur</w:t>
      </w:r>
      <w:r>
        <w:rPr>
          <w:rFonts w:ascii="Times New Roman" w:eastAsia="Times New Roman" w:hAnsi="Times New Roman" w:cs="Times New Roman"/>
        </w:rPr>
        <w:t>. These texts challenge the medieval notion that suffering is a necessary marker of chivalric virtue, instead presenting characters who embody knightly ideals without the need for self-inflicted suffering. Tolkien’s theological background, particularly his rejection of the medieval atonement theory that linked suffering to redemption, informed his perspective. By translating and rewriting medieval stories, he subtly subverted the chivalric tradition, advocating for a version of heroism that emphasized loyalty, honor, and moral courage without glorifying pain. This paper argues that Tolkien’s reinterpretation of chivalry not only reflects his scholarly and religious convictions but also provides a new critique of medieval literature’s portrayal of knightly virtue. Through his nuanced engagement with medieval texts, Tolkien redefined chivalry for a modern audience, questioning long-standing assumptions about suffering and heroism.</w:t>
      </w:r>
    </w:p>
    <w:p w14:paraId="3043812F" w14:textId="294446A6" w:rsidR="0012419F" w:rsidRPr="004C2E2D" w:rsidRDefault="00776662" w:rsidP="004C2E2D">
      <w:pPr>
        <w:spacing w:line="276"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5408" behindDoc="0" locked="0" layoutInCell="1" allowOverlap="1" wp14:anchorId="36EA87FF" wp14:editId="5E70000D">
                <wp:simplePos x="0" y="0"/>
                <wp:positionH relativeFrom="margin">
                  <wp:align>right</wp:align>
                </wp:positionH>
                <wp:positionV relativeFrom="paragraph">
                  <wp:posOffset>51349</wp:posOffset>
                </wp:positionV>
                <wp:extent cx="5947719" cy="0"/>
                <wp:effectExtent l="0" t="0" r="0" b="0"/>
                <wp:wrapNone/>
                <wp:docPr id="237204499" name="Straight Connector 3"/>
                <wp:cNvGraphicFramePr/>
                <a:graphic xmlns:a="http://schemas.openxmlformats.org/drawingml/2006/main">
                  <a:graphicData uri="http://schemas.microsoft.com/office/word/2010/wordprocessingShape">
                    <wps:wsp>
                      <wps:cNvCnPr/>
                      <wps:spPr>
                        <a:xfrm>
                          <a:off x="0" y="0"/>
                          <a:ext cx="5947719"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369FFFFA" id="Straight Connector 3" o:spid="_x0000_s1026" style="position:absolute;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7.1pt,4.05pt" to="885.4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" strokecolor="black [3200]" strokeweight="1pt">
                <v:stroke joinstyle="miter"/>
                <w10:wrap anchorx="margin"/>
              </v:line>
            </w:pict>
          </mc:Fallback>
        </mc:AlternateContent>
      </w:r>
    </w:p>
    <w:p w14:paraId="3F21DD3E" w14:textId="64B11135"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From the battlefields of the Carolingian Empire to the mythologized ideals in medieval literature, the chivalric code evolved into a complex system of virtue and suffering, an evolution that J.R.R. Tolkien both revered and resisted in his writings. Chivalry emerged as a social and military code for knights in Europe amidst the growing conflicts after the fall of the Roman Empire. Despite these origins, the chivalric code remained stagnant for only a short period. Like most social structures, it changed with the needs of society. Its evolution is intertwined with the feudal system, where lords were constantly attempting to gain more power and land via war. It also ties to the growing influence of Christianity, a religion quickly taking over barbarian lands and calling for reforms in the way men do battle. </w:t>
      </w:r>
    </w:p>
    <w:p w14:paraId="11317AA1"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the core goal of chivalry stayed the same, the semantics of the code quickly became mythologized in books like </w:t>
      </w:r>
      <w:r>
        <w:rPr>
          <w:rFonts w:ascii="Times New Roman" w:eastAsia="Times New Roman" w:hAnsi="Times New Roman" w:cs="Times New Roman"/>
          <w:i/>
          <w:color w:val="101418"/>
        </w:rPr>
        <w:t xml:space="preserve">Ordene de Chevalerie </w:t>
      </w:r>
      <w:r>
        <w:rPr>
          <w:rFonts w:ascii="Times New Roman" w:eastAsia="Times New Roman" w:hAnsi="Times New Roman" w:cs="Times New Roman"/>
          <w:color w:val="101418"/>
        </w:rPr>
        <w:t xml:space="preserve">(written anonymously) and </w:t>
      </w:r>
      <w:r>
        <w:rPr>
          <w:rFonts w:ascii="Times New Roman" w:eastAsia="Times New Roman" w:hAnsi="Times New Roman" w:cs="Times New Roman"/>
          <w:i/>
          <w:color w:val="202122"/>
        </w:rPr>
        <w:t xml:space="preserve">Livre de </w:t>
      </w:r>
      <w:r>
        <w:rPr>
          <w:rFonts w:ascii="Times New Roman" w:eastAsia="Times New Roman" w:hAnsi="Times New Roman" w:cs="Times New Roman"/>
          <w:i/>
          <w:color w:val="202122"/>
        </w:rPr>
        <w:lastRenderedPageBreak/>
        <w:t xml:space="preserve">Chevalerie </w:t>
      </w:r>
      <w:r>
        <w:rPr>
          <w:rFonts w:ascii="Times New Roman" w:eastAsia="Times New Roman" w:hAnsi="Times New Roman" w:cs="Times New Roman"/>
          <w:color w:val="202122"/>
        </w:rPr>
        <w:t xml:space="preserve">by Geoffroi de Charny. Books like these established the groundwork for the modern understanding of chivalry and helped literature turn its back on the historical basis for chivalry. The story of </w:t>
      </w:r>
      <w:r>
        <w:rPr>
          <w:rFonts w:ascii="Times New Roman" w:eastAsia="Times New Roman" w:hAnsi="Times New Roman" w:cs="Times New Roman"/>
          <w:i/>
          <w:color w:val="202122"/>
        </w:rPr>
        <w:t xml:space="preserve">Sir Gawain and the Green Knight, </w:t>
      </w:r>
      <w:r>
        <w:rPr>
          <w:rFonts w:ascii="Times New Roman" w:eastAsia="Times New Roman" w:hAnsi="Times New Roman" w:cs="Times New Roman"/>
          <w:color w:val="202122"/>
        </w:rPr>
        <w:t xml:space="preserve">and </w:t>
      </w:r>
      <w:r>
        <w:rPr>
          <w:rFonts w:ascii="Times New Roman" w:eastAsia="Times New Roman" w:hAnsi="Times New Roman" w:cs="Times New Roman"/>
          <w:i/>
          <w:color w:val="202122"/>
        </w:rPr>
        <w:t>Le Morte d’Arthur</w:t>
      </w:r>
      <w:r>
        <w:rPr>
          <w:rFonts w:ascii="Times New Roman" w:eastAsia="Times New Roman" w:hAnsi="Times New Roman" w:cs="Times New Roman"/>
          <w:color w:val="202122"/>
        </w:rPr>
        <w:t xml:space="preserve"> all come from this mythologized chivalry vein. </w:t>
      </w:r>
      <w:r>
        <w:rPr>
          <w:rFonts w:ascii="Times New Roman" w:eastAsia="Times New Roman" w:hAnsi="Times New Roman" w:cs="Times New Roman"/>
        </w:rPr>
        <w:t xml:space="preserve">The original ideology was lost to time, replaced by a far more enticing version of itself. From this new bureaucratized and Christianized chivalry came the idea of suffering being a necessity. Many of the most chivalric heroes we have come to love had to suffer to receive or retain their title as chivalrous. J.R.R. Tolkien, the brilliant author, philologist, and medievalist, was well-versed in chivalric literature and fully disagreed with the theological claims being made in this literature. As a response, Tolkien wrote or translated three poems set in the medieval chivalric period that not only critiqued the chivalric code’s need for suffering but also completely subverted their entire theological claim.  </w:t>
      </w:r>
    </w:p>
    <w:p w14:paraId="323A2391" w14:textId="77777777" w:rsidR="00A308D1" w:rsidRDefault="00A308D1" w:rsidP="00A308D1">
      <w:pPr>
        <w:spacing w:line="480" w:lineRule="auto"/>
        <w:rPr>
          <w:rFonts w:ascii="Times New Roman" w:eastAsia="Times New Roman" w:hAnsi="Times New Roman" w:cs="Times New Roman"/>
          <w:b/>
        </w:rPr>
      </w:pPr>
      <w:r>
        <w:rPr>
          <w:rFonts w:ascii="Times New Roman" w:eastAsia="Times New Roman" w:hAnsi="Times New Roman" w:cs="Times New Roman"/>
          <w:b/>
        </w:rPr>
        <w:t>History of Chivalry</w:t>
      </w:r>
    </w:p>
    <w:p w14:paraId="10FF7A4F" w14:textId="66A84973"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At the height of the Roman Empire, infantry dominated the military, with cavalry reserved for the elite due to the high cost of maintaining horses. After the empire's fall, successor states like the Visigoths, Saxons, and Franks retained the prestige of mounted warriors, embedding it into early feudal and social structures. As medieval historian Charles Mills notes, “Some of the rules and maxims of chivalry had their origin in that state of society in which the feudal system arose.”</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Tolkien and other medievalists later traced how feudalism influenced chivalry's evolution. Early forms of the chivalric code were unwritten and highly localized due to regional variations in feudal organization. Between 476 and 800 CE, chivalry remained largely unorganized and minimally influenced by Christianity. This changed with Charlemagne’s coronation as “Emperor of the Romans” in 800 CE by Pope Leo III—a moment that </w:t>
      </w:r>
      <w:r>
        <w:rPr>
          <w:rFonts w:ascii="Times New Roman" w:eastAsia="Times New Roman" w:hAnsi="Times New Roman" w:cs="Times New Roman"/>
        </w:rPr>
        <w:lastRenderedPageBreak/>
        <w:t>strengthened the bond between Church and state. The Church’s growing influence shaped the moral framework of chivalry, embedding Christian values into knightly conduct and social norms. This fusion of spiritual and feudal authority helped romanticize chivalry in medieval literature, laying the foundation for themes that later writers, including Tolkien, would engage with critically.</w:t>
      </w:r>
    </w:p>
    <w:p w14:paraId="3403EB03" w14:textId="3DAED49E" w:rsidR="00A308D1" w:rsidRDefault="00A308D1" w:rsidP="00A308D1">
      <w:pPr>
        <w:spacing w:line="480" w:lineRule="auto"/>
        <w:rPr>
          <w:rFonts w:ascii="Times New Roman" w:eastAsia="Times New Roman" w:hAnsi="Times New Roman" w:cs="Times New Roman"/>
          <w:b/>
        </w:rPr>
      </w:pPr>
      <w:r>
        <w:rPr>
          <w:rFonts w:ascii="Times New Roman" w:eastAsia="Times New Roman" w:hAnsi="Times New Roman" w:cs="Times New Roman"/>
          <w:b/>
        </w:rPr>
        <w:t>Theology’s Impact on Chivalry</w:t>
      </w:r>
    </w:p>
    <w:p w14:paraId="155BA26A"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Just before the period, chivalric texts were beginning to disseminate throughout Europe and beyond, the Catholic Church had just begun the Scholastic Movement. A theological and philosophical movement with an emphasis on dialectical reasoning in an attempt to solve previous contradictions in both fields.</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One leader of this movement was Anselm of Canterbury, a Benedictine monk who later became an Archbishop in the Holy Roman Empire. Anselm, in an attempt to clarify one of the church’s least solidified doctrines, atonement, wrote </w:t>
      </w:r>
      <w:r>
        <w:rPr>
          <w:rFonts w:ascii="Times New Roman" w:eastAsia="Times New Roman" w:hAnsi="Times New Roman" w:cs="Times New Roman"/>
          <w:i/>
        </w:rPr>
        <w:t>Cur Homo Deus.</w:t>
      </w:r>
      <w:r>
        <w:rPr>
          <w:rFonts w:ascii="Times New Roman" w:eastAsia="Times New Roman" w:hAnsi="Times New Roman" w:cs="Times New Roman"/>
          <w:i/>
          <w:vertAlign w:val="superscript"/>
        </w:rPr>
        <w:footnoteReference w:id="3"/>
      </w:r>
      <w:r>
        <w:rPr>
          <w:rFonts w:ascii="Times New Roman" w:eastAsia="Times New Roman" w:hAnsi="Times New Roman" w:cs="Times New Roman"/>
          <w:i/>
        </w:rPr>
        <w:t xml:space="preserve"> </w:t>
      </w:r>
      <w:r>
        <w:rPr>
          <w:rFonts w:ascii="Times New Roman" w:eastAsia="Times New Roman" w:hAnsi="Times New Roman" w:cs="Times New Roman"/>
        </w:rPr>
        <w:t>The book lays out Anselm’s entire theory of atonement, one that would come to be called the satisfaction theory of atonement. The Satisfaction Theory of Atonement works as follows: God must be paid for man’s transgressions against him, and this payment must come from a God-man. Simple submission is not enough; a sacrifice of some kind must be given to God. Jesus gives himself freely as a sacrifice, and because of this freely given sacrifice, God must return some compensation. Because Jesus cannot receive it, humans are the recipients of it.</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This theory was by far the most comprehensive and most placating to theologians in this period and is still widely used today.</w:t>
      </w:r>
    </w:p>
    <w:p w14:paraId="77728B8E"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 At the time of </w:t>
      </w:r>
      <w:r>
        <w:rPr>
          <w:rFonts w:ascii="Times New Roman" w:eastAsia="Times New Roman" w:hAnsi="Times New Roman" w:cs="Times New Roman"/>
          <w:i/>
        </w:rPr>
        <w:t>Homo Deus</w:t>
      </w:r>
      <w:r>
        <w:rPr>
          <w:rFonts w:ascii="Times New Roman" w:eastAsia="Times New Roman" w:hAnsi="Times New Roman" w:cs="Times New Roman"/>
        </w:rPr>
        <w:t xml:space="preserve">'s publication, early medieval thinkers actively promoted the ideal of asceticism. Anselm was no different; he wrote extensively on asceticism and meritorious suffering—including in </w:t>
      </w:r>
      <w:r>
        <w:rPr>
          <w:rFonts w:ascii="Times New Roman" w:eastAsia="Times New Roman" w:hAnsi="Times New Roman" w:cs="Times New Roman"/>
          <w:i/>
        </w:rPr>
        <w:t>Homo Deus</w:t>
      </w:r>
      <w:r>
        <w:rPr>
          <w:rFonts w:ascii="Times New Roman" w:eastAsia="Times New Roman" w:hAnsi="Times New Roman" w:cs="Times New Roman"/>
        </w:rPr>
        <w:t>—and consistently emphasized its value in the Christian life.</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In fact, most members of the Church at this point would argue that suffering leads to personal spiritual growth, and should be welcomed, not shied away from.</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Anselm’s ideas regarding suffering are backed by Isaiah 53:4-11, the passage often referred to as the Suffering Servant. The passage reads, </w:t>
      </w:r>
    </w:p>
    <w:p w14:paraId="0060B8A2" w14:textId="77777777" w:rsidR="00A308D1" w:rsidRDefault="00A308D1" w:rsidP="00A308D1">
      <w:pPr>
        <w:spacing w:after="240"/>
        <w:ind w:left="719" w:right="726"/>
        <w:rPr>
          <w:rFonts w:ascii="Times New Roman" w:eastAsia="Times New Roman" w:hAnsi="Times New Roman" w:cs="Times New Roman"/>
          <w:sz w:val="20"/>
          <w:szCs w:val="20"/>
        </w:rPr>
      </w:pPr>
      <w:r>
        <w:rPr>
          <w:rFonts w:ascii="Times New Roman" w:eastAsia="Times New Roman" w:hAnsi="Times New Roman" w:cs="Times New Roman"/>
          <w:sz w:val="20"/>
          <w:szCs w:val="20"/>
        </w:rPr>
        <w:t>⁴Surely he has borne our infirmities and carried our diseases; yet we accounted him stricken, struck down by God, and afflicted. But he was wounded for our transgressions, crushed for our iniquities; upon him was the punishment that made us whole, and by his bruises, we are healed….¹¹Out of his anguish, he shall see light; he shall find satisfaction through his knowledge. The righteous one, my servant, shall make many righteous, and he shall bear their iniquities.</w:t>
      </w:r>
    </w:p>
    <w:p w14:paraId="1997BD80"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Though the seemingly firm basis supports the core of Anselm’s argument, this theory did not come without issues—not issues from a theological or political standpoint, but a societal one. This perspective deeply shaped perceptions of suffering and Christ, leading some to self-inflict stigmata-like wounds as a devotional practice meant to emulate and recall the suffering of Jesus. David Aers writes</w:t>
      </w:r>
    </w:p>
    <w:p w14:paraId="6D4D9624" w14:textId="77777777" w:rsidR="00A308D1" w:rsidRDefault="00A308D1" w:rsidP="00A308D1">
      <w:pPr>
        <w:ind w:left="719" w:right="726"/>
        <w:rPr>
          <w:rFonts w:ascii="Times New Roman" w:eastAsia="Times New Roman" w:hAnsi="Times New Roman" w:cs="Times New Roman"/>
          <w:sz w:val="20"/>
          <w:szCs w:val="20"/>
        </w:rPr>
      </w:pPr>
      <w:r>
        <w:rPr>
          <w:rFonts w:ascii="Times New Roman" w:eastAsia="Times New Roman" w:hAnsi="Times New Roman" w:cs="Times New Roman"/>
          <w:sz w:val="20"/>
          <w:szCs w:val="20"/>
        </w:rPr>
        <w:t>We can see how the dominant model of Christ’s humanity encourages quite specific forms of imitation. They seem characterized by the freely chosen infliction of bodily pain, miraculously, sustained by God so that the holy person can go on, and on performing such activities, reiterations that themselves confirm and sacralize the model that informed them.</w:t>
      </w:r>
      <w:r>
        <w:rPr>
          <w:rFonts w:ascii="Times New Roman" w:eastAsia="Times New Roman" w:hAnsi="Times New Roman" w:cs="Times New Roman"/>
          <w:sz w:val="20"/>
          <w:szCs w:val="20"/>
          <w:vertAlign w:val="superscript"/>
        </w:rPr>
        <w:footnoteReference w:id="7"/>
      </w:r>
    </w:p>
    <w:p w14:paraId="5485C597" w14:textId="77777777" w:rsidR="00A308D1" w:rsidRDefault="00A308D1" w:rsidP="00A308D1">
      <w:pPr>
        <w:ind w:left="719" w:right="726"/>
        <w:rPr>
          <w:rFonts w:ascii="Times New Roman" w:eastAsia="Times New Roman" w:hAnsi="Times New Roman" w:cs="Times New Roman"/>
          <w:sz w:val="20"/>
          <w:szCs w:val="20"/>
        </w:rPr>
      </w:pPr>
    </w:p>
    <w:p w14:paraId="2AFA0E18"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 xml:space="preserve">Through Anselm’s theory of atonement, the act of suffering as a positive or honorable thing began to grow in popularity. Not necessarily with the serf and peasant class, but the well-learned </w:t>
      </w:r>
      <w:r>
        <w:rPr>
          <w:rFonts w:ascii="Times New Roman" w:eastAsia="Times New Roman" w:hAnsi="Times New Roman" w:cs="Times New Roman"/>
        </w:rPr>
        <w:lastRenderedPageBreak/>
        <w:t>nobles of Europe were influenced by the theory, and this was reflected in the chivalric code.</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The reason for the popularization with the nobles first was because their suffering was seen as venerable and much more likely to occur during a knightly act. Serfs and peasants were much more likely to suffer in daily life given their lack of social mobility. </w:t>
      </w:r>
    </w:p>
    <w:p w14:paraId="55FB7932"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ab/>
        <w:t>Despite the popularity and completeness of the Satisfaction theory of atonement, it did not fully replace the previously accepted theory, Christ the Victor. Christ the Victor, also known as the Devil’s Rights supposes that Christ obtained a literal victory over sin, death, the devil, and all other forces that opposed God. Rather than replace Christ the Victor, for many people in the medieval world, the Satisfaction theory of atonement united with it creating a whole new theory.</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 xml:space="preserve"> A theory that declares Christ not only suffers for us to ultimately save us but in the process of this fights the devil, gains a victory over him, and the satisfaction goes to Satan, not God. The Combination Theory is incredibly important to Tolkien and the theology that is woven into his writing because it will be the bedrock of his objection. </w:t>
      </w:r>
    </w:p>
    <w:p w14:paraId="2B656222"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the Combination Theory gained traction, a growing number of popular ministers who were openly pro-crusades wrote sermons with this theology in mind. One of the most notable examples comes from Jaques de Vitry. Prefaced with “Another sermon to those who are or will become crusaders,”</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he states, </w:t>
      </w:r>
    </w:p>
    <w:p w14:paraId="6B728C90" w14:textId="77777777" w:rsidR="00A308D1" w:rsidRDefault="00A308D1" w:rsidP="00A308D1">
      <w:pPr>
        <w:ind w:left="720" w:right="720"/>
        <w:rPr>
          <w:rFonts w:ascii="Times New Roman" w:eastAsia="Times New Roman" w:hAnsi="Times New Roman" w:cs="Times New Roman"/>
          <w:sz w:val="20"/>
          <w:szCs w:val="20"/>
        </w:rPr>
      </w:pPr>
      <w:r>
        <w:rPr>
          <w:rFonts w:ascii="Times New Roman" w:eastAsia="Times New Roman" w:hAnsi="Times New Roman" w:cs="Times New Roman"/>
          <w:sz w:val="20"/>
          <w:szCs w:val="20"/>
        </w:rPr>
        <w:t>Those crusaders who prepare themselves for the service of God, truly confessed and contrite, are considered true martyrs while they are in the service of Christ, freed from venial and also mortal sins, from all the penitence enjoined upon them, absolved from the punishment for their sins in this world and the punishment of purgatory in the next, safe from the tortures of hell, in the glory and honour of being crowned in eternal beatitude.</w:t>
      </w:r>
      <w:r>
        <w:rPr>
          <w:rFonts w:ascii="Times New Roman" w:eastAsia="Times New Roman" w:hAnsi="Times New Roman" w:cs="Times New Roman"/>
          <w:sz w:val="20"/>
          <w:szCs w:val="20"/>
          <w:vertAlign w:val="superscript"/>
        </w:rPr>
        <w:footnoteReference w:id="11"/>
      </w:r>
    </w:p>
    <w:p w14:paraId="248764D4" w14:textId="77777777" w:rsidR="00A308D1" w:rsidRDefault="00A308D1" w:rsidP="00A308D1">
      <w:pPr>
        <w:ind w:left="720" w:right="720"/>
        <w:rPr>
          <w:rFonts w:ascii="Times New Roman" w:eastAsia="Times New Roman" w:hAnsi="Times New Roman" w:cs="Times New Roman"/>
          <w:sz w:val="20"/>
          <w:szCs w:val="20"/>
        </w:rPr>
      </w:pPr>
    </w:p>
    <w:p w14:paraId="7933DDDF" w14:textId="77777777" w:rsidR="00A308D1" w:rsidRDefault="00A308D1" w:rsidP="00A308D1">
      <w:pPr>
        <w:spacing w:line="480" w:lineRule="auto"/>
        <w:ind w:right="720"/>
        <w:rPr>
          <w:rFonts w:ascii="Times New Roman" w:eastAsia="Times New Roman" w:hAnsi="Times New Roman" w:cs="Times New Roman"/>
        </w:rPr>
      </w:pPr>
      <w:r>
        <w:rPr>
          <w:rFonts w:ascii="Times New Roman" w:eastAsia="Times New Roman" w:hAnsi="Times New Roman" w:cs="Times New Roman"/>
        </w:rPr>
        <w:t xml:space="preserve">Closing a sermon on preparing for a crusade and the personal freedom martyrdom provides directly ties the Combination Theology of the Suffering Servant and the Devil’s Rights to the chivalric code. </w:t>
      </w:r>
    </w:p>
    <w:p w14:paraId="55D3B171" w14:textId="77777777" w:rsidR="00A308D1" w:rsidRDefault="00A308D1" w:rsidP="00A308D1">
      <w:pPr>
        <w:spacing w:line="480" w:lineRule="auto"/>
        <w:ind w:right="720"/>
        <w:rPr>
          <w:rFonts w:ascii="Times New Roman" w:eastAsia="Times New Roman" w:hAnsi="Times New Roman" w:cs="Times New Roman"/>
        </w:rPr>
      </w:pPr>
      <w:r>
        <w:rPr>
          <w:rFonts w:ascii="Times New Roman" w:eastAsia="Times New Roman" w:hAnsi="Times New Roman" w:cs="Times New Roman"/>
        </w:rPr>
        <w:tab/>
        <w:t xml:space="preserve">The idea of a suffering yet battling Jesus aligned perfectly with the slow integration of knighthood and chivalry in the medieval period, and from this point on, nearly all chivalric texts relied on this model. Within a few centuries of Anselm’s </w:t>
      </w:r>
      <w:r>
        <w:rPr>
          <w:rFonts w:ascii="Times New Roman" w:eastAsia="Times New Roman" w:hAnsi="Times New Roman" w:cs="Times New Roman"/>
          <w:i/>
        </w:rPr>
        <w:t>Cur Deus Homo,</w:t>
      </w:r>
      <w:r>
        <w:rPr>
          <w:rFonts w:ascii="Times New Roman" w:eastAsia="Times New Roman" w:hAnsi="Times New Roman" w:cs="Times New Roman"/>
        </w:rPr>
        <w:t xml:space="preserve"> there was no separating the Combination Theory from Chivalry. In all texts that came from this growing love of the Combination Theory, Christ is made more into a knight who abides by the chivalric code, and noblemen become less like knights who follow the teachings of Jesus. In sermons, Jesus is referred to as “Christus pugil Noster”</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xml:space="preserve"> (Christ our Champion) and the “Tourneyer who rescued his vassals” in the context of calling Christ the winner of a jousting or combat tournament. The image of Jesus becomes shrouded in mail and armor, but chivalry prefers this version of Jesus and sees his suffering as a reason for themselves to suffer too. However, later medievalists, including Tolkien, would interact with these narratives, exploring the tensions between theological claims and the lived reality of chivalric ideals. Tolkien's nuanced portrayals of figures like Aotrou or Arthur, which we will later discuss, suggest a complex relationship with the theological models of his predecessors.</w:t>
      </w:r>
    </w:p>
    <w:p w14:paraId="354B1870" w14:textId="77777777" w:rsidR="00A308D1" w:rsidRDefault="00A308D1" w:rsidP="00A308D1">
      <w:pPr>
        <w:spacing w:line="480" w:lineRule="auto"/>
        <w:ind w:right="720"/>
        <w:rPr>
          <w:rFonts w:ascii="Times New Roman" w:eastAsia="Times New Roman" w:hAnsi="Times New Roman" w:cs="Times New Roman"/>
          <w:b/>
        </w:rPr>
      </w:pPr>
      <w:r>
        <w:rPr>
          <w:rFonts w:ascii="Times New Roman" w:eastAsia="Times New Roman" w:hAnsi="Times New Roman" w:cs="Times New Roman"/>
          <w:b/>
        </w:rPr>
        <w:t>Chivalric Theology through Medieval Literature</w:t>
      </w:r>
    </w:p>
    <w:p w14:paraId="1CF5591B" w14:textId="77777777" w:rsidR="00A308D1" w:rsidRDefault="00A308D1" w:rsidP="00A308D1">
      <w:pPr>
        <w:spacing w:line="480" w:lineRule="auto"/>
        <w:ind w:right="720" w:firstLine="720"/>
        <w:rPr>
          <w:rFonts w:ascii="Times New Roman" w:eastAsia="Times New Roman" w:hAnsi="Times New Roman" w:cs="Times New Roman"/>
          <w:color w:val="101418"/>
        </w:rPr>
      </w:pPr>
      <w:r>
        <w:rPr>
          <w:rFonts w:ascii="Times New Roman" w:eastAsia="Times New Roman" w:hAnsi="Times New Roman" w:cs="Times New Roman"/>
        </w:rPr>
        <w:t xml:space="preserve">This newfound organized alliance between feudalism, the Church, and chivalry opened the door for a unified chivalric code to be set in place with feudalism and </w:t>
      </w:r>
      <w:r>
        <w:rPr>
          <w:rFonts w:ascii="Times New Roman" w:eastAsia="Times New Roman" w:hAnsi="Times New Roman" w:cs="Times New Roman"/>
        </w:rPr>
        <w:lastRenderedPageBreak/>
        <w:t>Christianity in mind. After nearly four hundred years of this new alliance, literature regarding chivalry became increasingly common.</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 xml:space="preserve"> </w:t>
      </w:r>
      <w:r>
        <w:rPr>
          <w:rFonts w:ascii="Times New Roman" w:eastAsia="Times New Roman" w:hAnsi="Times New Roman" w:cs="Times New Roman"/>
          <w:i/>
          <w:color w:val="101418"/>
        </w:rPr>
        <w:t xml:space="preserve">Ordene de Chevalerie, </w:t>
      </w:r>
      <w:r>
        <w:rPr>
          <w:rFonts w:ascii="Times New Roman" w:eastAsia="Times New Roman" w:hAnsi="Times New Roman" w:cs="Times New Roman"/>
          <w:color w:val="101418"/>
        </w:rPr>
        <w:t>one of the oldest surviving chivalric texts, follows the story of a man captured by Saladin and teaches him how to be a knight. In this long poem, it is revealed that chivalry consists of piety and servitude to the church, honorable actions, care for women, the rejection of wealth, abstinence, penitence, pain, and grief.</w:t>
      </w:r>
      <w:r>
        <w:rPr>
          <w:rFonts w:ascii="Times New Roman" w:eastAsia="Times New Roman" w:hAnsi="Times New Roman" w:cs="Times New Roman"/>
          <w:color w:val="101418"/>
          <w:vertAlign w:val="superscript"/>
        </w:rPr>
        <w:footnoteReference w:id="14"/>
      </w:r>
      <w:r>
        <w:rPr>
          <w:rFonts w:ascii="Times New Roman" w:eastAsia="Times New Roman" w:hAnsi="Times New Roman" w:cs="Times New Roman"/>
          <w:color w:val="101418"/>
        </w:rPr>
        <w:t xml:space="preserve"> When one can simultaneously embody all of those attributes, then and only then can you be referred to as a chivalric man. Upon explaining this to Saladin, Hugh exclaims several times that Saladin is not eligible for this moniker despite his nobility. </w:t>
      </w:r>
    </w:p>
    <w:p w14:paraId="0B68212D" w14:textId="77777777" w:rsidR="00A308D1" w:rsidRDefault="00A308D1" w:rsidP="00A308D1">
      <w:pPr>
        <w:spacing w:line="480" w:lineRule="auto"/>
        <w:ind w:right="720" w:firstLine="720"/>
        <w:rPr>
          <w:rFonts w:ascii="Times New Roman" w:eastAsia="Times New Roman" w:hAnsi="Times New Roman" w:cs="Times New Roman"/>
        </w:rPr>
      </w:pPr>
      <w:r>
        <w:rPr>
          <w:rFonts w:ascii="Times New Roman" w:eastAsia="Times New Roman" w:hAnsi="Times New Roman" w:cs="Times New Roman"/>
          <w:color w:val="101418"/>
        </w:rPr>
        <w:t>This text is widely regarded as the true beginning of the modern view of chivalry.</w:t>
      </w:r>
      <w:r>
        <w:rPr>
          <w:rFonts w:ascii="Times New Roman" w:eastAsia="Times New Roman" w:hAnsi="Times New Roman" w:cs="Times New Roman"/>
          <w:color w:val="101418"/>
          <w:vertAlign w:val="superscript"/>
        </w:rPr>
        <w:footnoteReference w:id="15"/>
      </w:r>
      <w:r>
        <w:rPr>
          <w:rFonts w:ascii="Times New Roman" w:eastAsia="Times New Roman" w:hAnsi="Times New Roman" w:cs="Times New Roman"/>
          <w:color w:val="101418"/>
        </w:rPr>
        <w:t xml:space="preserve"> At this point, the chivalry Charlemagne would have known no longer exists. The mythologized era of Chivalry has begun, and texts such as </w:t>
      </w:r>
      <w:r>
        <w:rPr>
          <w:rFonts w:ascii="Times New Roman" w:eastAsia="Times New Roman" w:hAnsi="Times New Roman" w:cs="Times New Roman"/>
          <w:i/>
          <w:color w:val="101418"/>
        </w:rPr>
        <w:t>Ordene</w:t>
      </w:r>
      <w:r>
        <w:rPr>
          <w:rFonts w:ascii="Times New Roman" w:eastAsia="Times New Roman" w:hAnsi="Times New Roman" w:cs="Times New Roman"/>
          <w:color w:val="101418"/>
        </w:rPr>
        <w:t xml:space="preserve"> only further fuel the next generation of writers. In fact, </w:t>
      </w:r>
      <w:r>
        <w:rPr>
          <w:rFonts w:ascii="Times New Roman" w:eastAsia="Times New Roman" w:hAnsi="Times New Roman" w:cs="Times New Roman"/>
          <w:color w:val="202122"/>
        </w:rPr>
        <w:t xml:space="preserve">Geoffroi de Charny directly quotes </w:t>
      </w:r>
      <w:r>
        <w:rPr>
          <w:rFonts w:ascii="Times New Roman" w:eastAsia="Times New Roman" w:hAnsi="Times New Roman" w:cs="Times New Roman"/>
          <w:i/>
          <w:color w:val="202122"/>
        </w:rPr>
        <w:t xml:space="preserve">Ordene </w:t>
      </w:r>
      <w:r>
        <w:rPr>
          <w:rFonts w:ascii="Times New Roman" w:eastAsia="Times New Roman" w:hAnsi="Times New Roman" w:cs="Times New Roman"/>
          <w:color w:val="202122"/>
        </w:rPr>
        <w:t xml:space="preserve">in his treatise, </w:t>
      </w:r>
      <w:r>
        <w:rPr>
          <w:rFonts w:ascii="Times New Roman" w:eastAsia="Times New Roman" w:hAnsi="Times New Roman" w:cs="Times New Roman"/>
          <w:i/>
          <w:color w:val="202122"/>
        </w:rPr>
        <w:t xml:space="preserve">Livre de Chevalerie. </w:t>
      </w:r>
      <w:r>
        <w:rPr>
          <w:rFonts w:ascii="Times New Roman" w:eastAsia="Times New Roman" w:hAnsi="Times New Roman" w:cs="Times New Roman"/>
          <w:color w:val="202122"/>
        </w:rPr>
        <w:t xml:space="preserve">Charny reaffirms the previous statements and claims made in </w:t>
      </w:r>
      <w:r>
        <w:rPr>
          <w:rFonts w:ascii="Times New Roman" w:eastAsia="Times New Roman" w:hAnsi="Times New Roman" w:cs="Times New Roman"/>
          <w:i/>
          <w:color w:val="202122"/>
        </w:rPr>
        <w:t>Ordene</w:t>
      </w:r>
      <w:r>
        <w:rPr>
          <w:rFonts w:ascii="Times New Roman" w:eastAsia="Times New Roman" w:hAnsi="Times New Roman" w:cs="Times New Roman"/>
          <w:color w:val="202122"/>
        </w:rPr>
        <w:t xml:space="preserve"> and expands on them. The most interesting of these expansions is his stance on knightly suffering. Charny states</w:t>
      </w:r>
    </w:p>
    <w:p w14:paraId="34CD6FF3" w14:textId="77777777" w:rsidR="00A308D1" w:rsidRDefault="00A308D1" w:rsidP="00A308D1">
      <w:pPr>
        <w:ind w:left="720"/>
        <w:rPr>
          <w:rFonts w:ascii="Times New Roman" w:eastAsia="Times New Roman" w:hAnsi="Times New Roman" w:cs="Times New Roman"/>
        </w:rPr>
      </w:pPr>
      <w:r>
        <w:rPr>
          <w:rFonts w:ascii="Times New Roman" w:eastAsia="Times New Roman" w:hAnsi="Times New Roman" w:cs="Times New Roman"/>
        </w:rPr>
        <w:t>For, whoever might want to consider the hardships, pains, discomforts, fears, perils, broken bones, and wounds which the good knights who uphold the order of knighthood as they should endure and have to suffer frequently, there is no religious order in which as much is suffered as has to be endured by these good knights who go in search of deeds of arms in the right way as has been set forth above.</w:t>
      </w:r>
      <w:r>
        <w:rPr>
          <w:rFonts w:ascii="Times New Roman" w:eastAsia="Times New Roman" w:hAnsi="Times New Roman" w:cs="Times New Roman"/>
          <w:vertAlign w:val="superscript"/>
        </w:rPr>
        <w:footnoteReference w:id="16"/>
      </w:r>
    </w:p>
    <w:p w14:paraId="484C8462" w14:textId="77777777" w:rsidR="00A308D1" w:rsidRDefault="00A308D1" w:rsidP="00A308D1">
      <w:pPr>
        <w:ind w:left="720"/>
        <w:rPr>
          <w:rFonts w:ascii="Times New Roman" w:eastAsia="Times New Roman" w:hAnsi="Times New Roman" w:cs="Times New Roman"/>
        </w:rPr>
      </w:pPr>
    </w:p>
    <w:p w14:paraId="3A7F8BE7"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Charny feels that knights must lean into their suffering and peril to be good knights and that their suffering makes them better than any other religious order. This expansion on the need for suffering and piety from </w:t>
      </w:r>
      <w:r>
        <w:rPr>
          <w:rFonts w:ascii="Times New Roman" w:eastAsia="Times New Roman" w:hAnsi="Times New Roman" w:cs="Times New Roman"/>
          <w:i/>
        </w:rPr>
        <w:t xml:space="preserve">Ordene </w:t>
      </w:r>
      <w:r>
        <w:rPr>
          <w:rFonts w:ascii="Times New Roman" w:eastAsia="Times New Roman" w:hAnsi="Times New Roman" w:cs="Times New Roman"/>
        </w:rPr>
        <w:t xml:space="preserve">erroneously puts knighthood and chivalry on a pedestal that is nearly impossible to attain. After the publication of the pseudo-historical works, complete fiction became the driving force behind the understanding of chivalry. The fictional claims of chivalry are more of what Tolkien will be in conversation with. The further they move away from the historical chivalry, the larger issue Tolkien takes with the literature, and with each passing generation, the themes of the previous one grew to caricature-like levels. Piety and suffering were these caricatured themes focused on when entering the purely fictional world of chivalry. </w:t>
      </w:r>
    </w:p>
    <w:p w14:paraId="4A26F0C3"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Through the centuries, the original reason for creating a chivalric code was lost, but the emphasis on the need for suffering was still present. </w:t>
      </w:r>
      <w:r>
        <w:rPr>
          <w:rFonts w:ascii="Times New Roman" w:eastAsia="Times New Roman" w:hAnsi="Times New Roman" w:cs="Times New Roman"/>
          <w:i/>
        </w:rPr>
        <w:t xml:space="preserve">Sir Gawain </w:t>
      </w:r>
      <w:r>
        <w:rPr>
          <w:rFonts w:ascii="Times New Roman" w:eastAsia="Times New Roman" w:hAnsi="Times New Roman" w:cs="Times New Roman"/>
        </w:rPr>
        <w:t xml:space="preserve">and </w:t>
      </w:r>
      <w:r>
        <w:rPr>
          <w:rFonts w:ascii="Times New Roman" w:eastAsia="Times New Roman" w:hAnsi="Times New Roman" w:cs="Times New Roman"/>
          <w:i/>
        </w:rPr>
        <w:t>Le Morte d’Arthur</w:t>
      </w:r>
      <w:r>
        <w:rPr>
          <w:rFonts w:ascii="Times New Roman" w:eastAsia="Times New Roman" w:hAnsi="Times New Roman" w:cs="Times New Roman"/>
        </w:rPr>
        <w:t xml:space="preserve">, while they are great stories, completely lose sight of the original goal of chivalry. The historical background sheds some light on the reasoning for this and how the chivalric tales originated and then grew in popularity, but the theological background provides much more in the way of specifics behind how certain rules in the chivalric code came into being. These two pieces of the puzzle form the complete picture of how suffering and chivalry became so closely related. After seeing the historical context coupled with the theology being pushed in this time period, it is not hard to understand why those who wrote the chivalric code were so obsessed with meritorious suffering as a way to achieve the title of chivalrous. In addition to this, knowing the history and theology makes it easy to see why Tolkien was so quick to draw attention to the issues created by these texts. </w:t>
      </w:r>
    </w:p>
    <w:p w14:paraId="52EF4C7E" w14:textId="77777777" w:rsidR="00A308D1" w:rsidRDefault="00A308D1" w:rsidP="00A308D1">
      <w:pPr>
        <w:spacing w:line="480" w:lineRule="auto"/>
        <w:rPr>
          <w:rFonts w:ascii="Times New Roman" w:eastAsia="Times New Roman" w:hAnsi="Times New Roman" w:cs="Times New Roman"/>
          <w:b/>
        </w:rPr>
      </w:pPr>
      <w:r>
        <w:rPr>
          <w:rFonts w:ascii="Times New Roman" w:eastAsia="Times New Roman" w:hAnsi="Times New Roman" w:cs="Times New Roman"/>
          <w:b/>
        </w:rPr>
        <w:t>Tolkien’s Take on Chivalry</w:t>
      </w:r>
    </w:p>
    <w:p w14:paraId="41566DF1"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Many of Tolkien’s short stories, poems, and novels include chivalric ideas, such as bravery, loyalty, and respect. Despite the inclusion of these ideas, because they are part of the Legendarium of Middle-earth, it is hard to fully grasp any claims Tolkien might be making about chivalry. Until his works rooted in the real world came to light, his opinion of chivalry remained a mystery. This mystery was all but solved by three, thought to be lost, manuscripts of Tolkien that were edited and published. All of which were rooted in the real world (with the added Faerie</w:t>
      </w:r>
      <w:r>
        <w:rPr>
          <w:rFonts w:ascii="Times New Roman" w:eastAsia="Times New Roman" w:hAnsi="Times New Roman" w:cs="Times New Roman"/>
          <w:vertAlign w:val="superscript"/>
        </w:rPr>
        <w:footnoteReference w:id="17"/>
      </w:r>
      <w:r>
        <w:rPr>
          <w:rFonts w:ascii="Times New Roman" w:eastAsia="Times New Roman" w:hAnsi="Times New Roman" w:cs="Times New Roman"/>
        </w:rPr>
        <w:t xml:space="preserve"> flare) and all of which were in conversation with the system of chivalry. </w:t>
      </w:r>
      <w:r>
        <w:rPr>
          <w:rFonts w:ascii="Times New Roman" w:eastAsia="Times New Roman" w:hAnsi="Times New Roman" w:cs="Times New Roman"/>
          <w:i/>
        </w:rPr>
        <w:t xml:space="preserve">The Battle of Maldon together with The Homecoming of Beorhtnoth, The Lay of Aotrou and Itroun, </w:t>
      </w:r>
      <w:r>
        <w:rPr>
          <w:rFonts w:ascii="Times New Roman" w:eastAsia="Times New Roman" w:hAnsi="Times New Roman" w:cs="Times New Roman"/>
        </w:rPr>
        <w:t xml:space="preserve">and </w:t>
      </w:r>
      <w:r>
        <w:rPr>
          <w:rFonts w:ascii="Times New Roman" w:eastAsia="Times New Roman" w:hAnsi="Times New Roman" w:cs="Times New Roman"/>
          <w:i/>
        </w:rPr>
        <w:t xml:space="preserve">The Fall of Arthur </w:t>
      </w:r>
      <w:r>
        <w:rPr>
          <w:rFonts w:ascii="Times New Roman" w:eastAsia="Times New Roman" w:hAnsi="Times New Roman" w:cs="Times New Roman"/>
        </w:rPr>
        <w:t xml:space="preserve">are the key to unlocking what Tolkien thinks about chivalry. All three poems were written before Tolkien's magnum opus, </w:t>
      </w:r>
      <w:r>
        <w:rPr>
          <w:rFonts w:ascii="Times New Roman" w:eastAsia="Times New Roman" w:hAnsi="Times New Roman" w:cs="Times New Roman"/>
          <w:i/>
        </w:rPr>
        <w:t xml:space="preserve">The Lord of the Rings, </w:t>
      </w:r>
      <w:r>
        <w:rPr>
          <w:rFonts w:ascii="Times New Roman" w:eastAsia="Times New Roman" w:hAnsi="Times New Roman" w:cs="Times New Roman"/>
        </w:rPr>
        <w:t xml:space="preserve">was published and were written at a time when the professor was far more interested in the writings of his predecessors in the field of Medievalism than his own. All three poems establish a commentary on the system of chivalry, while simultaneously subverting one of the key aspects of it, suffering. </w:t>
      </w:r>
    </w:p>
    <w:p w14:paraId="2BC48D2B"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Tolkien’s translation of </w:t>
      </w:r>
      <w:r>
        <w:rPr>
          <w:rFonts w:ascii="Times New Roman" w:eastAsia="Times New Roman" w:hAnsi="Times New Roman" w:cs="Times New Roman"/>
          <w:i/>
        </w:rPr>
        <w:t>The Battle of Maldon</w:t>
      </w:r>
      <w:r>
        <w:rPr>
          <w:rFonts w:ascii="Times New Roman" w:eastAsia="Times New Roman" w:hAnsi="Times New Roman" w:cs="Times New Roman"/>
          <w:i/>
          <w:vertAlign w:val="superscript"/>
        </w:rPr>
        <w:footnoteReference w:id="18"/>
      </w:r>
      <w:r>
        <w:rPr>
          <w:rFonts w:ascii="Times New Roman" w:eastAsia="Times New Roman" w:hAnsi="Times New Roman" w:cs="Times New Roman"/>
        </w:rPr>
        <w:t xml:space="preserve"> and his sequel of the story written in alliterative verse, </w:t>
      </w:r>
      <w:r>
        <w:rPr>
          <w:rFonts w:ascii="Times New Roman" w:eastAsia="Times New Roman" w:hAnsi="Times New Roman" w:cs="Times New Roman"/>
          <w:i/>
        </w:rPr>
        <w:t>The</w:t>
      </w:r>
      <w:r>
        <w:rPr>
          <w:rFonts w:ascii="Times New Roman" w:eastAsia="Times New Roman" w:hAnsi="Times New Roman" w:cs="Times New Roman"/>
        </w:rPr>
        <w:t xml:space="preserve"> </w:t>
      </w:r>
      <w:r>
        <w:rPr>
          <w:rFonts w:ascii="Times New Roman" w:eastAsia="Times New Roman" w:hAnsi="Times New Roman" w:cs="Times New Roman"/>
          <w:i/>
        </w:rPr>
        <w:t>Homecoming of Beorhtnoth</w:t>
      </w:r>
      <w:r>
        <w:rPr>
          <w:rFonts w:ascii="Times New Roman" w:eastAsia="Times New Roman" w:hAnsi="Times New Roman" w:cs="Times New Roman"/>
          <w:i/>
          <w:vertAlign w:val="superscript"/>
        </w:rPr>
        <w:footnoteReference w:id="19"/>
      </w:r>
      <w:r>
        <w:rPr>
          <w:rFonts w:ascii="Times New Roman" w:eastAsia="Times New Roman" w:hAnsi="Times New Roman" w:cs="Times New Roman"/>
        </w:rPr>
        <w:t xml:space="preserve"> was a joint publication released posthumously in 2023. </w:t>
      </w:r>
      <w:r>
        <w:rPr>
          <w:rFonts w:ascii="Times New Roman" w:eastAsia="Times New Roman" w:hAnsi="Times New Roman" w:cs="Times New Roman"/>
          <w:i/>
        </w:rPr>
        <w:t xml:space="preserve">The Battle </w:t>
      </w:r>
      <w:r>
        <w:rPr>
          <w:rFonts w:ascii="Times New Roman" w:eastAsia="Times New Roman" w:hAnsi="Times New Roman" w:cs="Times New Roman"/>
        </w:rPr>
        <w:t>is Tolkien’s translation of the fragmented copy thought to be originally written around the time of the actual battle in 991 A.D.</w:t>
      </w:r>
      <w:r>
        <w:rPr>
          <w:rFonts w:ascii="Times New Roman" w:eastAsia="Times New Roman" w:hAnsi="Times New Roman" w:cs="Times New Roman"/>
          <w:vertAlign w:val="superscript"/>
        </w:rPr>
        <w:footnoteReference w:id="20"/>
      </w:r>
      <w:r>
        <w:rPr>
          <w:rFonts w:ascii="Times New Roman" w:eastAsia="Times New Roman" w:hAnsi="Times New Roman" w:cs="Times New Roman"/>
        </w:rPr>
        <w:t xml:space="preserve"> </w:t>
      </w:r>
      <w:r>
        <w:rPr>
          <w:rFonts w:ascii="Times New Roman" w:eastAsia="Times New Roman" w:hAnsi="Times New Roman" w:cs="Times New Roman"/>
          <w:i/>
        </w:rPr>
        <w:t xml:space="preserve">The Battle </w:t>
      </w:r>
      <w:r>
        <w:rPr>
          <w:rFonts w:ascii="Times New Roman" w:eastAsia="Times New Roman" w:hAnsi="Times New Roman" w:cs="Times New Roman"/>
        </w:rPr>
        <w:t xml:space="preserve">tells the story of the loss to Viking invaders on the shores of the River Blackwater in Essex. The major themes of </w:t>
      </w:r>
      <w:r>
        <w:rPr>
          <w:rFonts w:ascii="Times New Roman" w:eastAsia="Times New Roman" w:hAnsi="Times New Roman" w:cs="Times New Roman"/>
          <w:i/>
        </w:rPr>
        <w:t>The Battle</w:t>
      </w:r>
      <w:r>
        <w:rPr>
          <w:rFonts w:ascii="Times New Roman" w:eastAsia="Times New Roman" w:hAnsi="Times New Roman" w:cs="Times New Roman"/>
        </w:rPr>
        <w:t xml:space="preserve"> revolve around chivalry. Beorhtnoth, a man of nobility in England, is ascribed as </w:t>
      </w:r>
      <w:r>
        <w:rPr>
          <w:rFonts w:ascii="Times New Roman" w:eastAsia="Times New Roman" w:hAnsi="Times New Roman" w:cs="Times New Roman"/>
        </w:rPr>
        <w:lastRenderedPageBreak/>
        <w:t>obtaining all of the attributes that were seen as chivalrous. He had no cowardice, he was loyal, he valued friendship, and he was a Godly man</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 xml:space="preserve">. All of these attributes point to the perfect man of chivalry as outlined previously. He possessed so much of it that it was the reason for Beorhtnoth’s death. He allowed the Vikings to cross the river to fight on level ground to make it a fair fight. Tolkien’s translation on line 86 (which bears quite a bit of difference to other translations) reads </w:t>
      </w:r>
    </w:p>
    <w:p w14:paraId="2E688390" w14:textId="77777777" w:rsidR="00A308D1" w:rsidRDefault="00A308D1" w:rsidP="00A308D1">
      <w:pPr>
        <w:ind w:left="720" w:right="630"/>
        <w:rPr>
          <w:rFonts w:ascii="Times New Roman" w:eastAsia="Times New Roman" w:hAnsi="Times New Roman" w:cs="Times New Roman"/>
          <w:sz w:val="20"/>
          <w:szCs w:val="20"/>
        </w:rPr>
      </w:pPr>
      <w:r>
        <w:rPr>
          <w:rFonts w:ascii="Times New Roman" w:eastAsia="Times New Roman" w:hAnsi="Times New Roman" w:cs="Times New Roman"/>
          <w:sz w:val="20"/>
          <w:szCs w:val="20"/>
        </w:rPr>
        <w:t>Those vile invaders made a plausible appeal (to Beorhtnoth’s chivalry) and asked they might have opportunity for coming up on his bank and leading their troops over the ford. Then the earl in his overconfident chivalry conceded too much land to that hateful people” Now we have made room for you, come ye men, quickly to us and to battle. God alone knoweth who may be masters of this stricken field”</w:t>
      </w:r>
      <w:r>
        <w:rPr>
          <w:rFonts w:ascii="Times New Roman" w:eastAsia="Times New Roman" w:hAnsi="Times New Roman" w:cs="Times New Roman"/>
          <w:sz w:val="20"/>
          <w:szCs w:val="20"/>
          <w:vertAlign w:val="superscript"/>
        </w:rPr>
        <w:footnoteReference w:id="22"/>
      </w:r>
    </w:p>
    <w:p w14:paraId="7A8BF616"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majority of the translations that exist do not mention anything of Beorhtnoth’s chivalry. Most mention his pride or hubris, but Tolkien makes sure to mention his chivalrous nature. This is not to critique chivalry yet but to alert the reader to the importance of this fact. </w:t>
      </w:r>
    </w:p>
    <w:p w14:paraId="666CB4D5"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medieval reader would have understood the characteristic of pride or hubris as a direct allusion to chivalry, but the modern reader, being nearly 500 years removed from medieval chivalry at the time of publication, is much less likely to understand the nuance. If anything this is Tolkien’s way of showing his affinity for the chivalric code, associating the fairness of Beorhtnoth and his willingness to sacrifice an advantage with his chivalry. The fact that this chivalry ultimately leads to his death carries no weight in Tolkien’s view of Beorhtnoth’s nature. Much of Tolkien’s translation moves back into alignment with other existing texts following this section until Beorhtnoth’s death on line 170. This section of the translation is where it becomes obvious what exact aspect of chivalry Tolkien is critiquing. As Beorhtnoth lay dying on the ground he states  </w:t>
      </w:r>
    </w:p>
    <w:p w14:paraId="73623F8B" w14:textId="77777777" w:rsidR="00A308D1" w:rsidRDefault="00A308D1" w:rsidP="00A308D1">
      <w:pPr>
        <w:ind w:left="720" w:right="7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 thank thee, Lord of peoples, for all those joys I have known in this world. Now I have, O merciful God, the greatest need that thou vouchsafe the grace unto my spirit, that my soul may journey to thee, into thy dominion, king of angels, passing in peace, I entreat thee that adversaries of Hell oppress me not.</w:t>
      </w:r>
      <w:r>
        <w:rPr>
          <w:rFonts w:ascii="Times New Roman" w:eastAsia="Times New Roman" w:hAnsi="Times New Roman" w:cs="Times New Roman"/>
          <w:sz w:val="20"/>
          <w:szCs w:val="20"/>
          <w:vertAlign w:val="superscript"/>
        </w:rPr>
        <w:footnoteReference w:id="23"/>
      </w:r>
    </w:p>
    <w:p w14:paraId="1CC1A399" w14:textId="77777777" w:rsidR="008B320D" w:rsidRDefault="008B320D" w:rsidP="00A308D1">
      <w:pPr>
        <w:ind w:left="720" w:right="720"/>
        <w:rPr>
          <w:rFonts w:ascii="Times New Roman" w:eastAsia="Times New Roman" w:hAnsi="Times New Roman" w:cs="Times New Roman"/>
          <w:sz w:val="20"/>
          <w:szCs w:val="20"/>
        </w:rPr>
      </w:pPr>
    </w:p>
    <w:p w14:paraId="1B2CB47B"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 xml:space="preserve">Just after this line, Beorhtnoth is “smote” by his foes. In his dying moments, he calls out and openly gives thanks to God and identifies that he is at peace. His thanking God shows his piety and commitment to serving God, a fact already identified in the text as a testament to his chivalric nature. His identification of the peacefulness of his death works as a subversion of the classic understanding of chivalry. </w:t>
      </w:r>
    </w:p>
    <w:p w14:paraId="1D148543" w14:textId="77777777" w:rsidR="00A308D1" w:rsidRDefault="00A308D1" w:rsidP="00A308D1">
      <w:pPr>
        <w:spacing w:line="480" w:lineRule="auto"/>
        <w:ind w:firstLine="720"/>
        <w:rPr>
          <w:rFonts w:ascii="Times New Roman" w:eastAsia="Times New Roman" w:hAnsi="Times New Roman" w:cs="Times New Roman"/>
          <w:color w:val="111827"/>
        </w:rPr>
      </w:pPr>
      <w:r>
        <w:rPr>
          <w:rFonts w:ascii="Times New Roman" w:eastAsia="Times New Roman" w:hAnsi="Times New Roman" w:cs="Times New Roman"/>
        </w:rPr>
        <w:t>As previously stated, suffering in the name of a greater good is expected of a chivalric man. For a knight or a nobleman to die without this suffering means they died without chivalry. Tolkien’s translation is one of very few that translate the word “</w:t>
      </w:r>
      <w:r>
        <w:rPr>
          <w:rFonts w:ascii="Times New Roman" w:eastAsia="Times New Roman" w:hAnsi="Times New Roman" w:cs="Times New Roman"/>
          <w:color w:val="111827"/>
        </w:rPr>
        <w:t>frið” as peace</w:t>
      </w:r>
      <w:r>
        <w:rPr>
          <w:rFonts w:ascii="Times New Roman" w:eastAsia="Times New Roman" w:hAnsi="Times New Roman" w:cs="Times New Roman"/>
          <w:color w:val="111827"/>
          <w:vertAlign w:val="superscript"/>
        </w:rPr>
        <w:footnoteReference w:id="24"/>
      </w:r>
      <w:r>
        <w:rPr>
          <w:rFonts w:ascii="Times New Roman" w:eastAsia="Times New Roman" w:hAnsi="Times New Roman" w:cs="Times New Roman"/>
          <w:color w:val="111827"/>
        </w:rPr>
        <w:t>. The Old English word has nearly ten possible meanings ranging from peace, as Tolkien translated it, all the way to friendship</w:t>
      </w:r>
      <w:r>
        <w:rPr>
          <w:rFonts w:ascii="Times New Roman" w:eastAsia="Times New Roman" w:hAnsi="Times New Roman" w:cs="Times New Roman"/>
          <w:color w:val="111827"/>
          <w:vertAlign w:val="superscript"/>
        </w:rPr>
        <w:footnoteReference w:id="25"/>
      </w:r>
      <w:r>
        <w:rPr>
          <w:rFonts w:ascii="Times New Roman" w:eastAsia="Times New Roman" w:hAnsi="Times New Roman" w:cs="Times New Roman"/>
          <w:color w:val="111827"/>
        </w:rPr>
        <w:t>. This translation by Tolkien allows for the connection to the chivalric code. Tolkien’s translation pushes back on this idea of suffering as a necessity for one to be denoted as chivalrous when held in tandem with the other translations we have. Beorhtnoth is seen as one of the great Anglo-Saxon literary heroes, falling shortly behind Beowulf.</w:t>
      </w:r>
      <w:r>
        <w:rPr>
          <w:rFonts w:ascii="Times New Roman" w:eastAsia="Times New Roman" w:hAnsi="Times New Roman" w:cs="Times New Roman"/>
          <w:color w:val="111827"/>
          <w:vertAlign w:val="superscript"/>
        </w:rPr>
        <w:footnoteReference w:id="26"/>
      </w:r>
      <w:r>
        <w:rPr>
          <w:rFonts w:ascii="Times New Roman" w:eastAsia="Times New Roman" w:hAnsi="Times New Roman" w:cs="Times New Roman"/>
          <w:color w:val="111827"/>
        </w:rPr>
        <w:t xml:space="preserve"> Nowhere in the Tolkien translation could you find any reason to doubt his chivalrous nature outside of his death, but Tolkien translates it this way not to take away from Beorhtnoth, but to make his own critique on one aspect of chivalry. </w:t>
      </w:r>
    </w:p>
    <w:p w14:paraId="3749261E"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ab/>
        <w:t xml:space="preserve">Following the story of the battle, </w:t>
      </w:r>
      <w:r>
        <w:rPr>
          <w:rFonts w:ascii="Times New Roman" w:eastAsia="Times New Roman" w:hAnsi="Times New Roman" w:cs="Times New Roman"/>
          <w:i/>
          <w:color w:val="111827"/>
        </w:rPr>
        <w:t xml:space="preserve">The Homecoming </w:t>
      </w:r>
      <w:r>
        <w:rPr>
          <w:rFonts w:ascii="Times New Roman" w:eastAsia="Times New Roman" w:hAnsi="Times New Roman" w:cs="Times New Roman"/>
          <w:color w:val="111827"/>
        </w:rPr>
        <w:t xml:space="preserve">follows two commoners, Tidwald and Torhthelm, who are charged with collecting the body of Beorhtnoth and bringing it to the abbey. </w:t>
      </w:r>
      <w:r>
        <w:rPr>
          <w:rFonts w:ascii="Times New Roman" w:eastAsia="Times New Roman" w:hAnsi="Times New Roman" w:cs="Times New Roman"/>
          <w:color w:val="111827"/>
        </w:rPr>
        <w:lastRenderedPageBreak/>
        <w:t>Their entire dialogue centers around what occurred during the battle and the chivalry Beorhtnoth displayed. In the passage, both characters, on several occasions compare Beorhtnoth to the pre-Arthurian chivalric hero of England, Beowulf. Tidwald states “These are Christian days, though the cross is heavy; Beorhtnoth we bear not Beowulf here: no pyres for him…the gold will be given to good Abbott.”</w:t>
      </w:r>
      <w:r>
        <w:rPr>
          <w:rFonts w:ascii="Times New Roman" w:eastAsia="Times New Roman" w:hAnsi="Times New Roman" w:cs="Times New Roman"/>
          <w:color w:val="111827"/>
          <w:vertAlign w:val="superscript"/>
        </w:rPr>
        <w:footnoteReference w:id="27"/>
      </w:r>
      <w:r>
        <w:rPr>
          <w:rFonts w:ascii="Times New Roman" w:eastAsia="Times New Roman" w:hAnsi="Times New Roman" w:cs="Times New Roman"/>
          <w:color w:val="111827"/>
        </w:rPr>
        <w:t xml:space="preserve"> Later in the story, Torhthelm states that Beorhtnoth had  </w:t>
      </w:r>
    </w:p>
    <w:p w14:paraId="0C483161" w14:textId="77777777" w:rsidR="00A308D1" w:rsidRDefault="00A308D1" w:rsidP="00A308D1">
      <w:pPr>
        <w:ind w:left="720" w:right="720"/>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 head that was higher than the helm of kings with heathen crowns, his heart keener and his soul, cleaner than swords of heroes polished and proven; than plated gold his worth was greater. From the world has passed, a prince peerless in peace and war, just in judgment, generous-handed as the golden lords of long ago. He has gone to God, glory-seeking Beorhtnoth beloved.”</w:t>
      </w:r>
      <w:r>
        <w:rPr>
          <w:rFonts w:ascii="Times New Roman" w:eastAsia="Times New Roman" w:hAnsi="Times New Roman" w:cs="Times New Roman"/>
          <w:color w:val="111827"/>
          <w:sz w:val="20"/>
          <w:szCs w:val="20"/>
          <w:vertAlign w:val="superscript"/>
        </w:rPr>
        <w:footnoteReference w:id="28"/>
      </w:r>
      <w:r>
        <w:rPr>
          <w:rFonts w:ascii="Times New Roman" w:eastAsia="Times New Roman" w:hAnsi="Times New Roman" w:cs="Times New Roman"/>
          <w:color w:val="111827"/>
          <w:sz w:val="20"/>
          <w:szCs w:val="20"/>
        </w:rPr>
        <w:t xml:space="preserve"> </w:t>
      </w:r>
    </w:p>
    <w:p w14:paraId="489B1FF8" w14:textId="77777777" w:rsidR="00A308D1" w:rsidRDefault="00A308D1" w:rsidP="00A308D1">
      <w:pPr>
        <w:ind w:left="720" w:right="720"/>
        <w:rPr>
          <w:rFonts w:ascii="Times New Roman" w:eastAsia="Times New Roman" w:hAnsi="Times New Roman" w:cs="Times New Roman"/>
          <w:color w:val="111827"/>
          <w:sz w:val="20"/>
          <w:szCs w:val="20"/>
        </w:rPr>
      </w:pPr>
    </w:p>
    <w:p w14:paraId="02263CBF"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Lastly, Tidwald identifies Beorhtnoth’s decision to allow the Vikings to cross the river for a fair battle as “needlessly noble”</w:t>
      </w:r>
      <w:r>
        <w:rPr>
          <w:rFonts w:ascii="Times New Roman" w:eastAsia="Times New Roman" w:hAnsi="Times New Roman" w:cs="Times New Roman"/>
          <w:color w:val="111827"/>
          <w:vertAlign w:val="superscript"/>
        </w:rPr>
        <w:footnoteReference w:id="29"/>
      </w:r>
      <w:r>
        <w:rPr>
          <w:rFonts w:ascii="Times New Roman" w:eastAsia="Times New Roman" w:hAnsi="Times New Roman" w:cs="Times New Roman"/>
          <w:color w:val="111827"/>
        </w:rPr>
        <w:t xml:space="preserve"> and caused his death. The dialogue in </w:t>
      </w:r>
      <w:r>
        <w:rPr>
          <w:rFonts w:ascii="Times New Roman" w:eastAsia="Times New Roman" w:hAnsi="Times New Roman" w:cs="Times New Roman"/>
          <w:i/>
          <w:color w:val="111827"/>
        </w:rPr>
        <w:t xml:space="preserve">The Homecoming </w:t>
      </w:r>
      <w:r>
        <w:rPr>
          <w:rFonts w:ascii="Times New Roman" w:eastAsia="Times New Roman" w:hAnsi="Times New Roman" w:cs="Times New Roman"/>
          <w:color w:val="111827"/>
        </w:rPr>
        <w:t xml:space="preserve">does not add to the claim that Tolkien is critiquing the need for suffering within the chivalric code in an obvious manner as </w:t>
      </w:r>
      <w:r>
        <w:rPr>
          <w:rFonts w:ascii="Times New Roman" w:eastAsia="Times New Roman" w:hAnsi="Times New Roman" w:cs="Times New Roman"/>
          <w:i/>
          <w:color w:val="111827"/>
        </w:rPr>
        <w:t>The Battle</w:t>
      </w:r>
      <w:r>
        <w:rPr>
          <w:rFonts w:ascii="Times New Roman" w:eastAsia="Times New Roman" w:hAnsi="Times New Roman" w:cs="Times New Roman"/>
          <w:color w:val="111827"/>
        </w:rPr>
        <w:t xml:space="preserve"> does. Still, it solidifies the claim that Tolkien completely sees Beorhtnoth as a chivalric character despite his lack of suffering. The comparison to Beowulf, being described as a man with a keen heart, just judgment, generous hand, and glory all accomplish this. The omission of suffering and emphasis on his chivalry demonstrates that Tolkien does not hold the belief that suffering is necessary. </w:t>
      </w:r>
    </w:p>
    <w:p w14:paraId="0FF52216"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ab/>
        <w:t xml:space="preserve">Tolkien’s second original poem of the three major chivalric texts that lend to the notion of Tolkien’s dislike of suffering as a necessity, </w:t>
      </w:r>
      <w:r>
        <w:rPr>
          <w:rFonts w:ascii="Times New Roman" w:eastAsia="Times New Roman" w:hAnsi="Times New Roman" w:cs="Times New Roman"/>
          <w:i/>
          <w:color w:val="111827"/>
        </w:rPr>
        <w:t>The Lay of Aotrou and Itroun</w:t>
      </w:r>
      <w:r>
        <w:rPr>
          <w:rFonts w:ascii="Times New Roman" w:eastAsia="Times New Roman" w:hAnsi="Times New Roman" w:cs="Times New Roman"/>
          <w:i/>
          <w:color w:val="111827"/>
          <w:vertAlign w:val="superscript"/>
        </w:rPr>
        <w:footnoteReference w:id="30"/>
      </w:r>
      <w:r>
        <w:rPr>
          <w:rFonts w:ascii="Times New Roman" w:eastAsia="Times New Roman" w:hAnsi="Times New Roman" w:cs="Times New Roman"/>
          <w:color w:val="111827"/>
        </w:rPr>
        <w:t xml:space="preserve">, was written in the </w:t>
      </w:r>
      <w:r>
        <w:rPr>
          <w:rFonts w:ascii="Times New Roman" w:eastAsia="Times New Roman" w:hAnsi="Times New Roman" w:cs="Times New Roman"/>
          <w:color w:val="111827"/>
        </w:rPr>
        <w:lastRenderedPageBreak/>
        <w:t>style of a classic Breton lay.</w:t>
      </w:r>
      <w:r>
        <w:rPr>
          <w:rFonts w:ascii="Times New Roman" w:eastAsia="Times New Roman" w:hAnsi="Times New Roman" w:cs="Times New Roman"/>
          <w:color w:val="111827"/>
          <w:vertAlign w:val="superscript"/>
        </w:rPr>
        <w:footnoteReference w:id="31"/>
      </w:r>
      <w:r>
        <w:rPr>
          <w:rFonts w:ascii="Times New Roman" w:eastAsia="Times New Roman" w:hAnsi="Times New Roman" w:cs="Times New Roman"/>
          <w:color w:val="111827"/>
        </w:rPr>
        <w:t xml:space="preserve"> Meaning much of the text draws from a long history of stories written with themes of chivalry and heroism. </w:t>
      </w:r>
      <w:r>
        <w:rPr>
          <w:rFonts w:ascii="Times New Roman" w:eastAsia="Times New Roman" w:hAnsi="Times New Roman" w:cs="Times New Roman"/>
          <w:i/>
          <w:color w:val="111827"/>
        </w:rPr>
        <w:t xml:space="preserve">The Lay </w:t>
      </w:r>
      <w:r>
        <w:rPr>
          <w:rFonts w:ascii="Times New Roman" w:eastAsia="Times New Roman" w:hAnsi="Times New Roman" w:cs="Times New Roman"/>
          <w:color w:val="111827"/>
        </w:rPr>
        <w:t>is a story that arguably is the most controversial of the three because of how chivalry works in text. The story follows Aotrou</w:t>
      </w:r>
      <w:r>
        <w:rPr>
          <w:rFonts w:ascii="Times New Roman" w:eastAsia="Times New Roman" w:hAnsi="Times New Roman" w:cs="Times New Roman"/>
          <w:color w:val="111827"/>
          <w:vertAlign w:val="superscript"/>
        </w:rPr>
        <w:footnoteReference w:id="32"/>
      </w:r>
      <w:r>
        <w:rPr>
          <w:rFonts w:ascii="Times New Roman" w:eastAsia="Times New Roman" w:hAnsi="Times New Roman" w:cs="Times New Roman"/>
          <w:color w:val="111827"/>
        </w:rPr>
        <w:t xml:space="preserve"> and his wife Itroun</w:t>
      </w:r>
      <w:r>
        <w:rPr>
          <w:rFonts w:ascii="Times New Roman" w:eastAsia="Times New Roman" w:hAnsi="Times New Roman" w:cs="Times New Roman"/>
          <w:color w:val="111827"/>
          <w:vertAlign w:val="superscript"/>
        </w:rPr>
        <w:footnoteReference w:id="33"/>
      </w:r>
      <w:r>
        <w:rPr>
          <w:rFonts w:ascii="Times New Roman" w:eastAsia="Times New Roman" w:hAnsi="Times New Roman" w:cs="Times New Roman"/>
          <w:color w:val="111827"/>
        </w:rPr>
        <w:t xml:space="preserve"> and their attempt to conceive a child, by employing the help of a witch. When the witch comes to collect her payment, a marriage to Aotrou, Aotrou refuses and ultimately dies. This story can be interpreted as a critique of the entire chivalric code because of the way Aotrou handles himself and the agreement he has with the witch. When the witch comes back she states </w:t>
      </w:r>
    </w:p>
    <w:p w14:paraId="4A297066" w14:textId="77777777" w:rsidR="00A308D1" w:rsidRDefault="00A308D1" w:rsidP="00A308D1">
      <w:pPr>
        <w:ind w:firstLine="720"/>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For this at least I claim my fee,</w:t>
      </w:r>
    </w:p>
    <w:p w14:paraId="32C9D1B2"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If ever thou wouldst wander free.</w:t>
      </w:r>
    </w:p>
    <w:p w14:paraId="037E6EF0"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 xml:space="preserve">With love thou shalt me here requite </w:t>
      </w:r>
    </w:p>
    <w:p w14:paraId="2472956D"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 xml:space="preserve">For here is long and sweet the night; </w:t>
      </w:r>
    </w:p>
    <w:p w14:paraId="5ADB3ED4" w14:textId="77777777" w:rsidR="00A308D1" w:rsidRDefault="00A308D1" w:rsidP="00A308D1">
      <w:pPr>
        <w:ind w:firstLine="720"/>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In druery</w:t>
      </w:r>
      <w:r>
        <w:rPr>
          <w:rFonts w:ascii="Times New Roman" w:eastAsia="Times New Roman" w:hAnsi="Times New Roman" w:cs="Times New Roman"/>
          <w:color w:val="111827"/>
          <w:sz w:val="20"/>
          <w:szCs w:val="20"/>
          <w:vertAlign w:val="superscript"/>
        </w:rPr>
        <w:footnoteReference w:id="34"/>
      </w:r>
      <w:r>
        <w:rPr>
          <w:rFonts w:ascii="Times New Roman" w:eastAsia="Times New Roman" w:hAnsi="Times New Roman" w:cs="Times New Roman"/>
          <w:color w:val="111827"/>
          <w:sz w:val="20"/>
          <w:szCs w:val="20"/>
        </w:rPr>
        <w:t xml:space="preserve"> dear thou shalt deal</w:t>
      </w:r>
    </w:p>
    <w:p w14:paraId="280628C1" w14:textId="77777777" w:rsidR="00A308D1" w:rsidRDefault="00A308D1" w:rsidP="00A308D1">
      <w:pPr>
        <w:ind w:firstLine="720"/>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In bliss more deep than mortals feel</w:t>
      </w:r>
      <w:r>
        <w:rPr>
          <w:rFonts w:ascii="Times New Roman" w:eastAsia="Times New Roman" w:hAnsi="Times New Roman" w:cs="Times New Roman"/>
          <w:color w:val="111827"/>
          <w:sz w:val="20"/>
          <w:szCs w:val="20"/>
          <w:vertAlign w:val="superscript"/>
        </w:rPr>
        <w:footnoteReference w:id="35"/>
      </w:r>
    </w:p>
    <w:p w14:paraId="0F563082" w14:textId="77777777" w:rsidR="00A308D1" w:rsidRDefault="00A308D1" w:rsidP="00A308D1">
      <w:pPr>
        <w:ind w:firstLine="720"/>
        <w:rPr>
          <w:rFonts w:ascii="Times New Roman" w:eastAsia="Times New Roman" w:hAnsi="Times New Roman" w:cs="Times New Roman"/>
          <w:color w:val="111827"/>
          <w:sz w:val="20"/>
          <w:szCs w:val="20"/>
        </w:rPr>
      </w:pPr>
    </w:p>
    <w:p w14:paraId="788FAE22"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color w:val="111827"/>
        </w:rPr>
        <w:t xml:space="preserve">Despite the witch’s reminder of the fee Autrou promised her, he responds with complete rejection. He refuses to acknowledge her claim and rejects her advances. This rejection of an agreement between two parties is a distinctly anti-chivalric act. Chivalry puts truth and honor at paramount, and no true chivalric knight would do this. That is the argument that a critic of this story could easily make in an attempt to argue Tolkien was trying to subvert the entire construct of chivalry here, but their argument would be false. Without a full understanding of chivalry, this is an easy conclusion to come to, but this action furthers the argument of Aotrou as a chivalric character. Despite his defaulting on his agreement, he does it for the sake of the church. Before he makes this verbal contract with the witch, he makes a covenant in the eyes of God to Itroun. </w:t>
      </w:r>
      <w:r>
        <w:rPr>
          <w:rFonts w:ascii="Times New Roman" w:eastAsia="Times New Roman" w:hAnsi="Times New Roman" w:cs="Times New Roman"/>
          <w:color w:val="111827"/>
        </w:rPr>
        <w:lastRenderedPageBreak/>
        <w:t>In the eyes of the chivalric code, an agreement of marriage far supersedes a verbal agreement obtained by way of “cheat[ing]”</w:t>
      </w:r>
      <w:r>
        <w:rPr>
          <w:rFonts w:ascii="Times New Roman" w:eastAsia="Times New Roman" w:hAnsi="Times New Roman" w:cs="Times New Roman"/>
          <w:color w:val="111827"/>
          <w:vertAlign w:val="superscript"/>
        </w:rPr>
        <w:footnoteReference w:id="36"/>
      </w:r>
      <w:r>
        <w:rPr>
          <w:rFonts w:ascii="Times New Roman" w:eastAsia="Times New Roman" w:hAnsi="Times New Roman" w:cs="Times New Roman"/>
          <w:color w:val="111827"/>
        </w:rPr>
        <w:t xml:space="preserve"> as Aotrou states. Furthermore, the witch is portrayed as an evil character</w:t>
      </w:r>
      <w:r>
        <w:rPr>
          <w:rFonts w:ascii="Times New Roman" w:eastAsia="Times New Roman" w:hAnsi="Times New Roman" w:cs="Times New Roman"/>
          <w:color w:val="111827"/>
          <w:vertAlign w:val="superscript"/>
        </w:rPr>
        <w:footnoteReference w:id="37"/>
      </w:r>
      <w:r>
        <w:rPr>
          <w:rFonts w:ascii="Times New Roman" w:eastAsia="Times New Roman" w:hAnsi="Times New Roman" w:cs="Times New Roman"/>
          <w:color w:val="111827"/>
        </w:rPr>
        <w:t xml:space="preserve"> with evil intentions, wanting only to trap Aotrou. Because of this portrayal, Aotrou is within his rights to reject her without losing his chivalry. According to the chivalric code, he would have been encouraged to not only reject her advances but to wage war on an enemy of Christendom. In </w:t>
      </w:r>
      <w:r>
        <w:rPr>
          <w:rFonts w:ascii="Times New Roman" w:eastAsia="Times New Roman" w:hAnsi="Times New Roman" w:cs="Times New Roman"/>
          <w:i/>
          <w:color w:val="202122"/>
        </w:rPr>
        <w:t xml:space="preserve">Livre de Chevalerie </w:t>
      </w:r>
      <w:r>
        <w:rPr>
          <w:rFonts w:ascii="Times New Roman" w:eastAsia="Times New Roman" w:hAnsi="Times New Roman" w:cs="Times New Roman"/>
          <w:color w:val="111827"/>
        </w:rPr>
        <w:t xml:space="preserve">by Geoffroi de Charny, he writes, </w:t>
      </w:r>
    </w:p>
    <w:p w14:paraId="3B18566C" w14:textId="77777777" w:rsidR="00A308D1" w:rsidRDefault="00A308D1" w:rsidP="00A308D1">
      <w:pPr>
        <w:ind w:left="720" w:right="720"/>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Moreover, the man who makes war against the enemies of religion in order to support and maintain Christianity and the worship of Our Lord is engaged in a war which is righteous, holy, certain, and sure, for his earthly body will be honored in a saintly fashion and his soul will, in a short space of time, be borne in holiness and without pain into paradise.</w:t>
      </w:r>
      <w:r>
        <w:rPr>
          <w:rFonts w:ascii="Times New Roman" w:eastAsia="Times New Roman" w:hAnsi="Times New Roman" w:cs="Times New Roman"/>
          <w:color w:val="111827"/>
          <w:sz w:val="20"/>
          <w:szCs w:val="20"/>
          <w:vertAlign w:val="superscript"/>
        </w:rPr>
        <w:footnoteReference w:id="38"/>
      </w:r>
      <w:r>
        <w:rPr>
          <w:rFonts w:ascii="Times New Roman" w:eastAsia="Times New Roman" w:hAnsi="Times New Roman" w:cs="Times New Roman"/>
          <w:color w:val="111827"/>
          <w:sz w:val="20"/>
          <w:szCs w:val="20"/>
        </w:rPr>
        <w:t xml:space="preserve"> </w:t>
      </w:r>
    </w:p>
    <w:p w14:paraId="2FB841AE" w14:textId="77777777" w:rsidR="00A308D1" w:rsidRDefault="00A308D1" w:rsidP="00A308D1">
      <w:pPr>
        <w:ind w:left="720" w:right="720"/>
        <w:rPr>
          <w:rFonts w:ascii="Times New Roman" w:eastAsia="Times New Roman" w:hAnsi="Times New Roman" w:cs="Times New Roman"/>
          <w:color w:val="111827"/>
          <w:sz w:val="20"/>
          <w:szCs w:val="20"/>
        </w:rPr>
      </w:pPr>
    </w:p>
    <w:p w14:paraId="4ABC7EE3"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 xml:space="preserve">If one acts in a way that is not in line with the chivalric code for the greater good of Christianity, this act is seen as even more chivalric. There is no question about how Tolkien attempts and succeeds at creating a link from Aotrou to chivalry. Aotrou is the epitome of medieval chivalry when he rejects the advances of the witch in the woods. </w:t>
      </w:r>
    </w:p>
    <w:p w14:paraId="3C5C99AA"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ab/>
        <w:t xml:space="preserve">This fact brings us to the subversion of the chivalric code once again by Tolkien. After creating this link between chivalry and Aotrou, Tolkien breaks down the necessity of suffering in chivalric characters.  Just before his death, Aotrou states </w:t>
      </w:r>
    </w:p>
    <w:p w14:paraId="477FE85F"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rPr>
        <w:tab/>
      </w:r>
      <w:r>
        <w:rPr>
          <w:rFonts w:ascii="Times New Roman" w:eastAsia="Times New Roman" w:hAnsi="Times New Roman" w:cs="Times New Roman"/>
          <w:color w:val="111827"/>
          <w:sz w:val="20"/>
          <w:szCs w:val="20"/>
        </w:rPr>
        <w:t>In three days I shall live at ease,</w:t>
      </w:r>
    </w:p>
    <w:p w14:paraId="110267A5"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And die when it God doth please</w:t>
      </w:r>
    </w:p>
    <w:p w14:paraId="244EE455"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In eld, or in some time to come</w:t>
      </w:r>
    </w:p>
    <w:p w14:paraId="019A5DFC" w14:textId="77777777" w:rsidR="00A308D1" w:rsidRDefault="00A308D1" w:rsidP="00A308D1">
      <w:pPr>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b/>
        <w:t>In the brave wars of Christendom</w:t>
      </w:r>
      <w:r>
        <w:rPr>
          <w:rFonts w:ascii="Times New Roman" w:eastAsia="Times New Roman" w:hAnsi="Times New Roman" w:cs="Times New Roman"/>
          <w:color w:val="111827"/>
          <w:sz w:val="20"/>
          <w:szCs w:val="20"/>
          <w:vertAlign w:val="superscript"/>
        </w:rPr>
        <w:footnoteReference w:id="39"/>
      </w:r>
    </w:p>
    <w:p w14:paraId="1A143C81" w14:textId="77777777" w:rsidR="00A308D1" w:rsidRDefault="00A308D1" w:rsidP="00A308D1">
      <w:pPr>
        <w:rPr>
          <w:rFonts w:ascii="Times New Roman" w:eastAsia="Times New Roman" w:hAnsi="Times New Roman" w:cs="Times New Roman"/>
          <w:color w:val="111827"/>
          <w:sz w:val="20"/>
          <w:szCs w:val="20"/>
        </w:rPr>
      </w:pPr>
    </w:p>
    <w:p w14:paraId="1561DDEF" w14:textId="77777777" w:rsidR="00A308D1" w:rsidRDefault="00A308D1" w:rsidP="00A308D1">
      <w:pPr>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lastRenderedPageBreak/>
        <w:t>This passage shows not only his resistance to the claim of the witch that he will die very soon, but it also shows the peace he feels if this death would come to him. He will live at ease and will die when God says it is time. He has completely made peace with this death and chooses to die with this peace. The suffering experienced by the heroes of the chivalric lays Tolkien is drawing from</w:t>
      </w:r>
      <w:r>
        <w:rPr>
          <w:rFonts w:ascii="Times New Roman" w:eastAsia="Times New Roman" w:hAnsi="Times New Roman" w:cs="Times New Roman"/>
          <w:color w:val="111827"/>
          <w:vertAlign w:val="superscript"/>
        </w:rPr>
        <w:footnoteReference w:id="40"/>
      </w:r>
      <w:r>
        <w:rPr>
          <w:rFonts w:ascii="Times New Roman" w:eastAsia="Times New Roman" w:hAnsi="Times New Roman" w:cs="Times New Roman"/>
          <w:color w:val="111827"/>
        </w:rPr>
        <w:t xml:space="preserve"> is nowhere to be found. Tolkien furthers this point in his juxtaposition of Itroun’s death to Aotrou. Itroun dies shortly after Aotrou. Though it is not explicitly stated, it is understood that her demise is caused by her grief. Before she passes, for multiple days in a row she is left wondering about the disappearance of her Lord and is left to question what she would do if he does not return from the forest. She also is left to “weep”</w:t>
      </w:r>
      <w:r>
        <w:rPr>
          <w:rFonts w:ascii="Times New Roman" w:eastAsia="Times New Roman" w:hAnsi="Times New Roman" w:cs="Times New Roman"/>
          <w:color w:val="111827"/>
          <w:vertAlign w:val="superscript"/>
        </w:rPr>
        <w:footnoteReference w:id="41"/>
      </w:r>
      <w:r>
        <w:rPr>
          <w:rFonts w:ascii="Times New Roman" w:eastAsia="Times New Roman" w:hAnsi="Times New Roman" w:cs="Times New Roman"/>
          <w:color w:val="111827"/>
        </w:rPr>
        <w:t xml:space="preserve"> and dwell in halls “cold and pale”</w:t>
      </w:r>
      <w:r>
        <w:rPr>
          <w:rFonts w:ascii="Times New Roman" w:eastAsia="Times New Roman" w:hAnsi="Times New Roman" w:cs="Times New Roman"/>
          <w:color w:val="111827"/>
          <w:vertAlign w:val="superscript"/>
        </w:rPr>
        <w:footnoteReference w:id="42"/>
      </w:r>
      <w:r>
        <w:rPr>
          <w:rFonts w:ascii="Times New Roman" w:eastAsia="Times New Roman" w:hAnsi="Times New Roman" w:cs="Times New Roman"/>
          <w:color w:val="111827"/>
        </w:rPr>
        <w:t xml:space="preserve"> after the funeral of Aotrou.</w:t>
      </w:r>
    </w:p>
    <w:p w14:paraId="668BDA39" w14:textId="77777777" w:rsidR="00A308D1" w:rsidRDefault="00A308D1" w:rsidP="00A308D1">
      <w:pPr>
        <w:spacing w:line="480" w:lineRule="auto"/>
        <w:ind w:firstLine="720"/>
        <w:rPr>
          <w:rFonts w:ascii="Times New Roman" w:eastAsia="Times New Roman" w:hAnsi="Times New Roman" w:cs="Times New Roman"/>
          <w:color w:val="111827"/>
          <w:highlight w:val="yellow"/>
        </w:rPr>
      </w:pPr>
      <w:r>
        <w:rPr>
          <w:rFonts w:ascii="Times New Roman" w:eastAsia="Times New Roman" w:hAnsi="Times New Roman" w:cs="Times New Roman"/>
          <w:color w:val="111827"/>
        </w:rPr>
        <w:t xml:space="preserve"> Itroun suffered immensely after the loss of her husband and Tolkien makes sure to call attention to this. Despite her suffering and her nobility she would not have been seen as chivalric. Her gender and the way in which she suffers exempt her from that title. As stated previously, the chivalric code was written explicitly for men and no amount of suffering would overcome that criterion. Her suffering also alludes to this idea of gender roles embedded in the chivalric code. Her suffering was not like that of a warrior. Her suffering was grief and inner turmoil, which would be seen as incompatible with the necessity of physical suffering (usually in battle). Tolkien is very aware of this dichotomy of kinds of suffering and gender within the chivalric code; he adds this section to offer a direct rebuttal to the suffering servant-esque plots of so many chivalric texts, both fiction and non-fiction. His writing of </w:t>
      </w:r>
      <w:r>
        <w:rPr>
          <w:rFonts w:ascii="Times New Roman" w:eastAsia="Times New Roman" w:hAnsi="Times New Roman" w:cs="Times New Roman"/>
          <w:i/>
          <w:color w:val="111827"/>
        </w:rPr>
        <w:t xml:space="preserve">The Lay </w:t>
      </w:r>
      <w:r>
        <w:rPr>
          <w:rFonts w:ascii="Times New Roman" w:eastAsia="Times New Roman" w:hAnsi="Times New Roman" w:cs="Times New Roman"/>
          <w:color w:val="111827"/>
        </w:rPr>
        <w:t xml:space="preserve">is meant to call attention to </w:t>
      </w:r>
      <w:r>
        <w:rPr>
          <w:rFonts w:ascii="Times New Roman" w:eastAsia="Times New Roman" w:hAnsi="Times New Roman" w:cs="Times New Roman"/>
          <w:color w:val="111827"/>
        </w:rPr>
        <w:lastRenderedPageBreak/>
        <w:t xml:space="preserve">the arbitrariness of the type and magnitude of suffering one must achieve to receive the title of chivalric according to antiquated notions. </w:t>
      </w:r>
    </w:p>
    <w:p w14:paraId="1E3FAE57" w14:textId="77777777" w:rsidR="00A308D1" w:rsidRDefault="00A308D1" w:rsidP="00A308D1">
      <w:pPr>
        <w:spacing w:line="480" w:lineRule="auto"/>
        <w:ind w:firstLine="720"/>
        <w:rPr>
          <w:rFonts w:ascii="Times New Roman" w:eastAsia="Times New Roman" w:hAnsi="Times New Roman" w:cs="Times New Roman"/>
          <w:color w:val="111827"/>
        </w:rPr>
      </w:pPr>
      <w:r>
        <w:rPr>
          <w:rFonts w:ascii="Times New Roman" w:eastAsia="Times New Roman" w:hAnsi="Times New Roman" w:cs="Times New Roman"/>
          <w:color w:val="111827"/>
        </w:rPr>
        <w:t xml:space="preserve">The last of the major poems written by Tolkien that subvert the need for chivalric suffering is </w:t>
      </w:r>
      <w:r>
        <w:rPr>
          <w:rFonts w:ascii="Times New Roman" w:eastAsia="Times New Roman" w:hAnsi="Times New Roman" w:cs="Times New Roman"/>
          <w:i/>
          <w:color w:val="111827"/>
        </w:rPr>
        <w:t>The Fall of Arthur.</w:t>
      </w:r>
      <w:r>
        <w:rPr>
          <w:rFonts w:ascii="Times New Roman" w:eastAsia="Times New Roman" w:hAnsi="Times New Roman" w:cs="Times New Roman"/>
          <w:i/>
          <w:color w:val="111827"/>
          <w:vertAlign w:val="superscript"/>
        </w:rPr>
        <w:footnoteReference w:id="43"/>
      </w:r>
      <w:r>
        <w:rPr>
          <w:rFonts w:ascii="Times New Roman" w:eastAsia="Times New Roman" w:hAnsi="Times New Roman" w:cs="Times New Roman"/>
          <w:i/>
          <w:color w:val="111827"/>
        </w:rPr>
        <w:t xml:space="preserve"> </w:t>
      </w:r>
      <w:r>
        <w:rPr>
          <w:rFonts w:ascii="Times New Roman" w:eastAsia="Times New Roman" w:hAnsi="Times New Roman" w:cs="Times New Roman"/>
          <w:color w:val="111827"/>
        </w:rPr>
        <w:t>Like most writers operating in the world of medievalism, Tolkien knew the pinnacle of that world was Arthur. Naturally, he wanted to write his version of the Arthurian myths. Staying true to the outlines of the story given by Sir Thomas Malory, the core of the story remains mostly intact. Arthur is still quite chivalrous, doing all the same deeds and winning all the same battles. Tolkien highlights Arthur’s hubris more than Malory ever did but one can take this as a stylistic choice by Tolkien, not a choice that is meant to invoke ridicule. Where Tolkien differs is his ending, it is nothing like previous versions. Malory makes sure to give Arthur a painful valiant death filled with suffering after a long fight with Mordred. A death that one from the medieval era would call most chivalric. Tolkien, like with the previous two poems, decided that would not work for him. He gives Arthur a beautiful ending without suffering or pain. Tolkien writes,</w:t>
      </w:r>
    </w:p>
    <w:p w14:paraId="0C0FF183" w14:textId="77777777" w:rsidR="00A308D1" w:rsidRDefault="00A308D1" w:rsidP="00A308D1">
      <w:pPr>
        <w:shd w:val="clear" w:color="auto" w:fill="FFFFFF"/>
        <w:ind w:left="719"/>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a king of peace kingdom wielding</w:t>
      </w:r>
    </w:p>
    <w:p w14:paraId="5AB0E104" w14:textId="77777777" w:rsidR="00A308D1" w:rsidRDefault="00A308D1" w:rsidP="00A308D1">
      <w:pPr>
        <w:shd w:val="clear" w:color="auto" w:fill="FFFFFF"/>
        <w:ind w:left="719"/>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in a holy realm beside Heaven’s gateway.</w:t>
      </w:r>
    </w:p>
    <w:p w14:paraId="4EB539A8" w14:textId="77777777" w:rsidR="00A308D1" w:rsidRDefault="00A308D1" w:rsidP="00A308D1">
      <w:pPr>
        <w:shd w:val="clear" w:color="auto" w:fill="FFFFFF"/>
        <w:ind w:left="719"/>
        <w:rPr>
          <w:rFonts w:ascii="Times New Roman" w:eastAsia="Times New Roman" w:hAnsi="Times New Roman" w:cs="Times New Roman"/>
          <w:color w:val="111827"/>
          <w:sz w:val="20"/>
          <w:szCs w:val="20"/>
        </w:rPr>
      </w:pPr>
      <w:r>
        <w:rPr>
          <w:rFonts w:ascii="Times New Roman" w:eastAsia="Times New Roman" w:hAnsi="Times New Roman" w:cs="Times New Roman"/>
          <w:color w:val="111827"/>
          <w:sz w:val="20"/>
          <w:szCs w:val="20"/>
        </w:rPr>
        <w:t>…kingship owning crowned and righteous</w:t>
      </w:r>
      <w:r>
        <w:rPr>
          <w:rFonts w:ascii="Times New Roman" w:eastAsia="Times New Roman" w:hAnsi="Times New Roman" w:cs="Times New Roman"/>
          <w:color w:val="111827"/>
          <w:sz w:val="20"/>
          <w:szCs w:val="20"/>
        </w:rPr>
        <w:br/>
        <w:t>he would pass in peace pardon granting</w:t>
      </w:r>
      <w:r>
        <w:rPr>
          <w:rFonts w:ascii="Times New Roman" w:eastAsia="Times New Roman" w:hAnsi="Times New Roman" w:cs="Times New Roman"/>
          <w:color w:val="111827"/>
          <w:sz w:val="20"/>
          <w:szCs w:val="20"/>
          <w:vertAlign w:val="superscript"/>
        </w:rPr>
        <w:footnoteReference w:id="44"/>
      </w:r>
    </w:p>
    <w:p w14:paraId="1971CEC1" w14:textId="77777777" w:rsidR="00A308D1" w:rsidRDefault="00A308D1" w:rsidP="00A308D1">
      <w:pPr>
        <w:shd w:val="clear" w:color="auto" w:fill="FFFFFF"/>
        <w:rPr>
          <w:rFonts w:ascii="Times New Roman" w:eastAsia="Times New Roman" w:hAnsi="Times New Roman" w:cs="Times New Roman"/>
          <w:color w:val="111827"/>
          <w:sz w:val="20"/>
          <w:szCs w:val="20"/>
        </w:rPr>
      </w:pPr>
    </w:p>
    <w:p w14:paraId="3E158B18" w14:textId="77777777" w:rsidR="00A308D1" w:rsidRDefault="00A308D1" w:rsidP="00A308D1">
      <w:pPr>
        <w:shd w:val="clear" w:color="auto" w:fill="FFFFFF"/>
        <w:spacing w:line="480" w:lineRule="auto"/>
        <w:rPr>
          <w:rFonts w:ascii="Times New Roman" w:eastAsia="Times New Roman" w:hAnsi="Times New Roman" w:cs="Times New Roman"/>
          <w:color w:val="111827"/>
        </w:rPr>
      </w:pPr>
      <w:r>
        <w:rPr>
          <w:rFonts w:ascii="Times New Roman" w:eastAsia="Times New Roman" w:hAnsi="Times New Roman" w:cs="Times New Roman"/>
          <w:color w:val="111827"/>
        </w:rPr>
        <w:t xml:space="preserve">Arthur has succeeded in uniting his kingdom, he has established himself as worthy for God’s kingdom, and he dies in peace. He does not have to face others in battle to come to an end that is chivalric. To Tolkien his end, void of suffering as it may be, is more than enough to retain the title of chivalric and to retain the title of king of his realm. This passage is one of the most compelling arguments that Tolkien rejected the idea of chivalric suffering. Tolkien, as a </w:t>
      </w:r>
      <w:r>
        <w:rPr>
          <w:rFonts w:ascii="Times New Roman" w:eastAsia="Times New Roman" w:hAnsi="Times New Roman" w:cs="Times New Roman"/>
          <w:color w:val="111827"/>
        </w:rPr>
        <w:lastRenderedPageBreak/>
        <w:t xml:space="preserve">medievalist, would have had immense respect for the text and the history behind a character as legendary as Arthur. To change a detail as important as Arthur’s death would have only occurred if he truly could not accept the theological claims being made in the text. </w:t>
      </w:r>
    </w:p>
    <w:p w14:paraId="5B85EE69" w14:textId="77777777" w:rsidR="00A308D1" w:rsidRDefault="00A308D1" w:rsidP="00A308D1">
      <w:pPr>
        <w:spacing w:line="480" w:lineRule="auto"/>
        <w:rPr>
          <w:rFonts w:ascii="Times New Roman" w:eastAsia="Times New Roman" w:hAnsi="Times New Roman" w:cs="Times New Roman"/>
          <w:b/>
          <w:color w:val="111827"/>
        </w:rPr>
      </w:pPr>
      <w:r>
        <w:rPr>
          <w:rFonts w:ascii="Times New Roman" w:eastAsia="Times New Roman" w:hAnsi="Times New Roman" w:cs="Times New Roman"/>
          <w:b/>
          <w:color w:val="111827"/>
        </w:rPr>
        <w:t>Tolkien’s Final Say</w:t>
      </w:r>
    </w:p>
    <w:p w14:paraId="3C18120E"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well as being a high-achieving medievalist, studying at the top colleges at Oxford University, Tolkien was a man who was deeply invested in faith. Tolkien was born into an Anglican family, but after his father’s death, his entire family converted to Catholicism. He was raised his entire childhood in the Catholic church and was even fathered by a catholic priest after his mother passed away leaving him an orphan.</w:t>
      </w:r>
      <w:r>
        <w:rPr>
          <w:rFonts w:ascii="Times New Roman" w:eastAsia="Times New Roman" w:hAnsi="Times New Roman" w:cs="Times New Roman"/>
          <w:vertAlign w:val="superscript"/>
        </w:rPr>
        <w:footnoteReference w:id="45"/>
      </w:r>
      <w:r>
        <w:rPr>
          <w:rFonts w:ascii="Times New Roman" w:eastAsia="Times New Roman" w:hAnsi="Times New Roman" w:cs="Times New Roman"/>
        </w:rPr>
        <w:t xml:space="preserve"> Being a Catholic was without a doubt one of the largest aspects of his identity, and something he could not separate himself from. Because of this, he was later married in the Catholic church, had his children baptized into the Catholic faith, and even translated the French copy of the Jerusalem Bible into English. In addition to being well versed in the Catholic tradition his membership in the Inklings literary discussion group allowed for interaction with all denominations of Christianity as multiple members were theologians.</w:t>
      </w:r>
      <w:r>
        <w:rPr>
          <w:rFonts w:ascii="Times New Roman" w:eastAsia="Times New Roman" w:hAnsi="Times New Roman" w:cs="Times New Roman"/>
          <w:vertAlign w:val="superscript"/>
        </w:rPr>
        <w:footnoteReference w:id="46"/>
      </w:r>
      <w:r>
        <w:rPr>
          <w:rFonts w:ascii="Times New Roman" w:eastAsia="Times New Roman" w:hAnsi="Times New Roman" w:cs="Times New Roman"/>
        </w:rPr>
        <w:t xml:space="preserve"> Tolkien was so strong in his conviction of faith that he convinced C.S Lewis to convert to Christianity. Without Tolkien, some of the best allegorical Christian narratives from the last two hundred years would have never been written. </w:t>
      </w:r>
    </w:p>
    <w:p w14:paraId="027969BF"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issue of Tolkien's literary relationship to Christianity is something that has been debated ad nauseam. Because of Tolkien’s close relationship with C.S. Lewis, many assume that he took a similar approach by including allegorical writing. Debating whether Aragorn or </w:t>
      </w:r>
      <w:r>
        <w:rPr>
          <w:rFonts w:ascii="Times New Roman" w:eastAsia="Times New Roman" w:hAnsi="Times New Roman" w:cs="Times New Roman"/>
        </w:rPr>
        <w:lastRenderedPageBreak/>
        <w:t>Gandalf</w:t>
      </w:r>
      <w:r>
        <w:rPr>
          <w:rFonts w:ascii="Times New Roman" w:eastAsia="Times New Roman" w:hAnsi="Times New Roman" w:cs="Times New Roman"/>
          <w:vertAlign w:val="superscript"/>
        </w:rPr>
        <w:footnoteReference w:id="47"/>
      </w:r>
      <w:r>
        <w:rPr>
          <w:rFonts w:ascii="Times New Roman" w:eastAsia="Times New Roman" w:hAnsi="Times New Roman" w:cs="Times New Roman"/>
        </w:rPr>
        <w:t xml:space="preserve">, characters from Tolkien’s more popular works, are representations of Jesus are far easier conversation than dissecting the complex theological claims Tolkien makes in his writing. In literary style, as Tolkien confirms in the aforementioned writings, he is far above the simple relationship allegory offers. His style of writing displays a much deeper look into Soteriological thought and gives a strong view of his rejection of popular medieval theological opinions like the combined atonement theory. Tolkien is well aware of the history and theology that was previously mentioned. His background as a medievalist writer and as a devout Catholic shows that he knew where he stood on every theological issue one might think of in the Christian faith. A man as methodical as Tolkien would not have decided to simply omit his opinions on something as important as atonement. </w:t>
      </w:r>
    </w:p>
    <w:p w14:paraId="06DA82E1" w14:textId="77777777" w:rsidR="00A308D1" w:rsidRDefault="00A308D1" w:rsidP="00A308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While there is not enough in his personal letters or academic texts to confirm which atonement theory Tolkien most likely lends himself to, it is overwhelmingly obvious that he is vehemently against the combination theory. In addition to the evidence found in his poems and stories, several letters circle the discussion of suffering and his opinion on it. In a letter written to C.S. Lewis Tolkien writes, “It is one of the mysteries of pain that it is, for the sufferer, an opportunity for good, a path of ascent however hard. But it remains an evil.”</w:t>
      </w:r>
      <w:r>
        <w:rPr>
          <w:rFonts w:ascii="Times New Roman" w:eastAsia="Times New Roman" w:hAnsi="Times New Roman" w:cs="Times New Roman"/>
          <w:vertAlign w:val="superscript"/>
        </w:rPr>
        <w:footnoteReference w:id="48"/>
      </w:r>
      <w:r>
        <w:rPr>
          <w:rFonts w:ascii="Times New Roman" w:eastAsia="Times New Roman" w:hAnsi="Times New Roman" w:cs="Times New Roman"/>
        </w:rPr>
        <w:t xml:space="preserve"> Tolkien concedes that good can come of suffering, his Catholic upbringing would hardly allow for any other view of it. But he is firm in his belief that suffering is still ultimately an evil and should not be sought after as the chivalric code calls for. His rejection of the positives and necessity of suffering puts him at complete odds with the combination theory in his literature and in his personal life. There is no evidence that Tolkien would even partially lend himself to the idea that suffering was a </w:t>
      </w:r>
      <w:r>
        <w:rPr>
          <w:rFonts w:ascii="Times New Roman" w:eastAsia="Times New Roman" w:hAnsi="Times New Roman" w:cs="Times New Roman"/>
        </w:rPr>
        <w:lastRenderedPageBreak/>
        <w:t xml:space="preserve">necessity. He understood why such a claim was made and why the literature took such a hardline stance on it, but he felt so strongly that some of his most influential works outside of the legendarium of Middle Earth refuted this claim passionately. </w:t>
      </w:r>
    </w:p>
    <w:p w14:paraId="07DBB7F4" w14:textId="77777777" w:rsidR="00A308D1" w:rsidRDefault="00A308D1" w:rsidP="00A308D1">
      <w:pPr>
        <w:spacing w:line="480" w:lineRule="auto"/>
        <w:ind w:firstLine="720"/>
        <w:rPr>
          <w:rFonts w:ascii="Times New Roman" w:eastAsia="Times New Roman" w:hAnsi="Times New Roman" w:cs="Times New Roman"/>
          <w:sz w:val="20"/>
          <w:szCs w:val="20"/>
          <w:highlight w:val="yellow"/>
        </w:rPr>
      </w:pPr>
      <w:r>
        <w:rPr>
          <w:rFonts w:ascii="Times New Roman" w:eastAsia="Times New Roman" w:hAnsi="Times New Roman" w:cs="Times New Roman"/>
        </w:rPr>
        <w:t xml:space="preserve">J.R.R. Tolkien’s critique of the chivalric code represents an engagement with medieval history, theology, literature, and the broader social ideals of suffering and virtue in the medieval era. Through his works, </w:t>
      </w:r>
      <w:r>
        <w:rPr>
          <w:rFonts w:ascii="Times New Roman" w:eastAsia="Times New Roman" w:hAnsi="Times New Roman" w:cs="Times New Roman"/>
          <w:i/>
        </w:rPr>
        <w:t>The Homecoming of Beorhtnoth</w:t>
      </w:r>
      <w:r>
        <w:rPr>
          <w:rFonts w:ascii="Times New Roman" w:eastAsia="Times New Roman" w:hAnsi="Times New Roman" w:cs="Times New Roman"/>
        </w:rPr>
        <w:t xml:space="preserve">, </w:t>
      </w:r>
      <w:r>
        <w:rPr>
          <w:rFonts w:ascii="Times New Roman" w:eastAsia="Times New Roman" w:hAnsi="Times New Roman" w:cs="Times New Roman"/>
          <w:i/>
        </w:rPr>
        <w:t>The Lay of Aotrou and Itroun</w:t>
      </w:r>
      <w:r>
        <w:rPr>
          <w:rFonts w:ascii="Times New Roman" w:eastAsia="Times New Roman" w:hAnsi="Times New Roman" w:cs="Times New Roman"/>
        </w:rPr>
        <w:t xml:space="preserve">, and </w:t>
      </w:r>
      <w:r>
        <w:rPr>
          <w:rFonts w:ascii="Times New Roman" w:eastAsia="Times New Roman" w:hAnsi="Times New Roman" w:cs="Times New Roman"/>
          <w:i/>
        </w:rPr>
        <w:t>The Fall of Arthur</w:t>
      </w:r>
      <w:r>
        <w:rPr>
          <w:rFonts w:ascii="Times New Roman" w:eastAsia="Times New Roman" w:hAnsi="Times New Roman" w:cs="Times New Roman"/>
        </w:rPr>
        <w:t xml:space="preserve">, Tolkien displays his respect for the values of loyalty, courage, and faith embedded within chivalry while rejecting the theological claim of insisting suffering be a defining marker of heroism. His reimagining of chivalric characters offers an alternative view, one without the need of suffering at all. Tolkien’s devout Catholic faith and his scholarly expertise in medievalism allowed him to subvert these ideals. Tolkien’s writing challenges antiquated notions of meritorious suffering and reframes the narrative of heroism in alignment with a broader, more humane theological vision. His critique calls readers to reevaluate the system of chivalry and reconsider the valorization of suffering in both historical accounts and fiction, while also opening the dialogue for the future to bridge the gap between flawed historical beliefs and the modern understanding. </w:t>
      </w:r>
    </w:p>
    <w:p w14:paraId="132CB751" w14:textId="77777777" w:rsidR="00A308D1" w:rsidRDefault="00A308D1" w:rsidP="00A308D1">
      <w:pPr>
        <w:spacing w:line="480" w:lineRule="auto"/>
        <w:ind w:firstLine="720"/>
        <w:rPr>
          <w:rFonts w:ascii="Times New Roman" w:eastAsia="Times New Roman" w:hAnsi="Times New Roman" w:cs="Times New Roman"/>
          <w:sz w:val="20"/>
          <w:szCs w:val="20"/>
          <w:highlight w:val="yellow"/>
        </w:rPr>
      </w:pPr>
    </w:p>
    <w:p w14:paraId="3581650A" w14:textId="77777777" w:rsidR="00A308D1" w:rsidRDefault="00A308D1" w:rsidP="00A308D1">
      <w:pPr>
        <w:spacing w:line="480" w:lineRule="auto"/>
        <w:jc w:val="center"/>
        <w:rPr>
          <w:rFonts w:ascii="Times New Roman" w:eastAsia="Times New Roman" w:hAnsi="Times New Roman" w:cs="Times New Roman"/>
        </w:rPr>
      </w:pPr>
    </w:p>
    <w:p w14:paraId="400DEF93" w14:textId="77777777" w:rsidR="00A308D1" w:rsidRDefault="00A308D1" w:rsidP="00A308D1">
      <w:pPr>
        <w:spacing w:line="480" w:lineRule="auto"/>
        <w:jc w:val="center"/>
        <w:rPr>
          <w:rFonts w:ascii="Times New Roman" w:eastAsia="Times New Roman" w:hAnsi="Times New Roman" w:cs="Times New Roman"/>
        </w:rPr>
      </w:pPr>
    </w:p>
    <w:p w14:paraId="71ACA40E" w14:textId="77777777" w:rsidR="00A308D1" w:rsidRDefault="00A308D1" w:rsidP="00A308D1">
      <w:pPr>
        <w:spacing w:line="480" w:lineRule="auto"/>
        <w:jc w:val="center"/>
        <w:rPr>
          <w:rFonts w:ascii="Times New Roman" w:eastAsia="Times New Roman" w:hAnsi="Times New Roman" w:cs="Times New Roman"/>
        </w:rPr>
      </w:pPr>
    </w:p>
    <w:p w14:paraId="7B00FDC6" w14:textId="77777777" w:rsidR="004C2E2D" w:rsidRDefault="004C2E2D" w:rsidP="00A308D1">
      <w:pPr>
        <w:spacing w:line="480" w:lineRule="auto"/>
        <w:jc w:val="center"/>
        <w:rPr>
          <w:rFonts w:ascii="Times New Roman" w:eastAsia="Times New Roman" w:hAnsi="Times New Roman" w:cs="Times New Roman"/>
        </w:rPr>
      </w:pPr>
    </w:p>
    <w:p w14:paraId="4AD6E0F0" w14:textId="24D78473" w:rsidR="00A308D1" w:rsidRPr="00171C6C" w:rsidRDefault="00A308D1" w:rsidP="00A308D1">
      <w:pPr>
        <w:spacing w:line="480" w:lineRule="auto"/>
        <w:jc w:val="center"/>
        <w:rPr>
          <w:rFonts w:ascii="Times New Roman" w:eastAsia="Times New Roman" w:hAnsi="Times New Roman" w:cs="Times New Roman"/>
          <w:u w:val="single"/>
        </w:rPr>
      </w:pPr>
      <w:r w:rsidRPr="00171C6C">
        <w:rPr>
          <w:rFonts w:ascii="Times New Roman" w:eastAsia="Times New Roman" w:hAnsi="Times New Roman" w:cs="Times New Roman"/>
          <w:u w:val="single"/>
        </w:rPr>
        <w:t>Work</w:t>
      </w:r>
      <w:r w:rsidR="00171C6C" w:rsidRPr="00171C6C">
        <w:rPr>
          <w:rFonts w:ascii="Times New Roman" w:eastAsia="Times New Roman" w:hAnsi="Times New Roman" w:cs="Times New Roman"/>
          <w:u w:val="single"/>
        </w:rPr>
        <w:t>s</w:t>
      </w:r>
      <w:r w:rsidRPr="00171C6C">
        <w:rPr>
          <w:rFonts w:ascii="Times New Roman" w:eastAsia="Times New Roman" w:hAnsi="Times New Roman" w:cs="Times New Roman"/>
          <w:u w:val="single"/>
        </w:rPr>
        <w:t xml:space="preserve"> Cited</w:t>
      </w:r>
    </w:p>
    <w:p w14:paraId="3080311A" w14:textId="61F10C6D" w:rsidR="00A308D1" w:rsidRDefault="00A308D1" w:rsidP="008B320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Armitage, Simon. </w:t>
      </w:r>
      <w:r>
        <w:rPr>
          <w:rFonts w:ascii="Times New Roman" w:eastAsia="Times New Roman" w:hAnsi="Times New Roman" w:cs="Times New Roman"/>
          <w:i/>
        </w:rPr>
        <w:t>Sir Gawain and the Green Knight (A New Verse Translation)</w:t>
      </w:r>
      <w:r>
        <w:rPr>
          <w:rFonts w:ascii="Times New Roman" w:eastAsia="Times New Roman" w:hAnsi="Times New Roman" w:cs="Times New Roman"/>
        </w:rPr>
        <w:t>. WW Norton &amp; Company,</w:t>
      </w:r>
      <w:r w:rsidR="005D0236">
        <w:rPr>
          <w:rFonts w:ascii="Times New Roman" w:eastAsia="Times New Roman" w:hAnsi="Times New Roman" w:cs="Times New Roman"/>
        </w:rPr>
        <w:t xml:space="preserve"> </w:t>
      </w:r>
      <w:r>
        <w:rPr>
          <w:rFonts w:ascii="Times New Roman" w:eastAsia="Times New Roman" w:hAnsi="Times New Roman" w:cs="Times New Roman"/>
        </w:rPr>
        <w:t>2008.</w:t>
      </w:r>
    </w:p>
    <w:p w14:paraId="40E88B16" w14:textId="48C796CD"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Barraclough, Geoffrey. </w:t>
      </w:r>
      <w:r>
        <w:rPr>
          <w:rFonts w:ascii="Times New Roman" w:eastAsia="Times New Roman" w:hAnsi="Times New Roman" w:cs="Times New Roman"/>
          <w:i/>
        </w:rPr>
        <w:t>The crucible of Europe: the ninth and tenth centuries in European history</w:t>
      </w:r>
      <w:r>
        <w:rPr>
          <w:rFonts w:ascii="Times New Roman" w:eastAsia="Times New Roman" w:hAnsi="Times New Roman" w:cs="Times New Roman"/>
          <w:highlight w:val="white"/>
        </w:rPr>
        <w:t>.</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Berkeley: University of California Press, 1976.</w:t>
      </w:r>
    </w:p>
    <w:p w14:paraId="342CA043"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Carpenter, Humphrey. </w:t>
      </w:r>
      <w:r>
        <w:rPr>
          <w:rFonts w:ascii="Times New Roman" w:eastAsia="Times New Roman" w:hAnsi="Times New Roman" w:cs="Times New Roman"/>
          <w:i/>
        </w:rPr>
        <w:t>The letters of JRR Tolkien</w:t>
      </w:r>
      <w:r>
        <w:rPr>
          <w:rFonts w:ascii="Times New Roman" w:eastAsia="Times New Roman" w:hAnsi="Times New Roman" w:cs="Times New Roman"/>
          <w:highlight w:val="white"/>
        </w:rPr>
        <w:t>. Vol. 140. Boston: Houghton Mifflin, 1981.</w:t>
      </w:r>
    </w:p>
    <w:p w14:paraId="2F0CF8F1"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 xml:space="preserve">De Charny, Geoffroi. </w:t>
      </w:r>
      <w:r>
        <w:rPr>
          <w:rFonts w:ascii="Times New Roman" w:eastAsia="Times New Roman" w:hAnsi="Times New Roman" w:cs="Times New Roman"/>
          <w:i/>
        </w:rPr>
        <w:t>A Knight's own book of Chivalry</w:t>
      </w:r>
      <w:r>
        <w:rPr>
          <w:rFonts w:ascii="Times New Roman" w:eastAsia="Times New Roman" w:hAnsi="Times New Roman" w:cs="Times New Roman"/>
        </w:rPr>
        <w:t>. University of Pennsylvania Press, 2005.</w:t>
      </w:r>
    </w:p>
    <w:p w14:paraId="1FB6FDC9"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House, Roy Temple, ed. </w:t>
      </w:r>
      <w:r>
        <w:rPr>
          <w:rFonts w:ascii="Times New Roman" w:eastAsia="Times New Roman" w:hAnsi="Times New Roman" w:cs="Times New Roman"/>
          <w:i/>
        </w:rPr>
        <w:t>L'Ordene de Chevalerie</w:t>
      </w:r>
      <w:r>
        <w:rPr>
          <w:rFonts w:ascii="Times New Roman" w:eastAsia="Times New Roman" w:hAnsi="Times New Roman" w:cs="Times New Roman"/>
          <w:highlight w:val="white"/>
        </w:rPr>
        <w:t>. University of Chicago, 1918.</w:t>
      </w:r>
    </w:p>
    <w:p w14:paraId="4A32BF64" w14:textId="39314512"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Kaeuper, Richard W. </w:t>
      </w:r>
      <w:r>
        <w:rPr>
          <w:rFonts w:ascii="Times New Roman" w:eastAsia="Times New Roman" w:hAnsi="Times New Roman" w:cs="Times New Roman"/>
          <w:i/>
        </w:rPr>
        <w:t>Holy warriors: The religious ideology of chivalry</w:t>
      </w:r>
      <w:r>
        <w:rPr>
          <w:rFonts w:ascii="Times New Roman" w:eastAsia="Times New Roman" w:hAnsi="Times New Roman" w:cs="Times New Roman"/>
          <w:highlight w:val="white"/>
        </w:rPr>
        <w:t>. University of Pennsylvania Press,</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2012.</w:t>
      </w:r>
    </w:p>
    <w:p w14:paraId="17E54216" w14:textId="7C26BE7D"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Macrae-Gibson, O. D. "HOW HISTORICAL IS" THE BATTLE OF MALDON?"." </w:t>
      </w:r>
      <w:r>
        <w:rPr>
          <w:rFonts w:ascii="Times New Roman" w:eastAsia="Times New Roman" w:hAnsi="Times New Roman" w:cs="Times New Roman"/>
          <w:i/>
        </w:rPr>
        <w:t>Medium Ævum</w:t>
      </w:r>
      <w:r>
        <w:rPr>
          <w:rFonts w:ascii="Times New Roman" w:eastAsia="Times New Roman" w:hAnsi="Times New Roman" w:cs="Times New Roman"/>
          <w:highlight w:val="white"/>
        </w:rPr>
        <w:t xml:space="preserve"> 39,</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no. 2 (1970): 89-107.</w:t>
      </w:r>
    </w:p>
    <w:p w14:paraId="512508E7" w14:textId="37449C53"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Maier, Christoph T. </w:t>
      </w:r>
      <w:r>
        <w:rPr>
          <w:rFonts w:ascii="Times New Roman" w:eastAsia="Times New Roman" w:hAnsi="Times New Roman" w:cs="Times New Roman"/>
          <w:i/>
        </w:rPr>
        <w:t>Crusade propaganda and ideology: model sermons for the preaching of the cross</w:t>
      </w:r>
      <w:r>
        <w:rPr>
          <w:rFonts w:ascii="Times New Roman" w:eastAsia="Times New Roman" w:hAnsi="Times New Roman" w:cs="Times New Roman"/>
          <w:highlight w:val="white"/>
        </w:rPr>
        <w:t>.</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Cambridge University Press, 2000.</w:t>
      </w:r>
    </w:p>
    <w:p w14:paraId="14D367A1"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Malory, Thomas. </w:t>
      </w:r>
      <w:r>
        <w:rPr>
          <w:rFonts w:ascii="Times New Roman" w:eastAsia="Times New Roman" w:hAnsi="Times New Roman" w:cs="Times New Roman"/>
          <w:i/>
        </w:rPr>
        <w:t>Le Morte Darthur: The Winchester Manuscript</w:t>
      </w:r>
      <w:r>
        <w:rPr>
          <w:rFonts w:ascii="Times New Roman" w:eastAsia="Times New Roman" w:hAnsi="Times New Roman" w:cs="Times New Roman"/>
          <w:highlight w:val="white"/>
        </w:rPr>
        <w:t>. OUP Oxford, 1998.</w:t>
      </w:r>
    </w:p>
    <w:p w14:paraId="0D3B3993"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Mills, Charles. </w:t>
      </w:r>
      <w:r>
        <w:rPr>
          <w:rFonts w:ascii="Times New Roman" w:eastAsia="Times New Roman" w:hAnsi="Times New Roman" w:cs="Times New Roman"/>
          <w:i/>
        </w:rPr>
        <w:t>History Of Chivalry Vol I</w:t>
      </w:r>
      <w:r>
        <w:rPr>
          <w:rFonts w:ascii="Times New Roman" w:eastAsia="Times New Roman" w:hAnsi="Times New Roman" w:cs="Times New Roman"/>
          <w:highlight w:val="white"/>
        </w:rPr>
        <w:t>. Routledge, 2013.</w:t>
      </w:r>
    </w:p>
    <w:p w14:paraId="341C64B7" w14:textId="77777777" w:rsidR="00A308D1" w:rsidRDefault="00A308D1" w:rsidP="00A308D1">
      <w:pPr>
        <w:spacing w:line="480" w:lineRule="auto"/>
        <w:rPr>
          <w:rFonts w:ascii="Times New Roman" w:eastAsia="Times New Roman" w:hAnsi="Times New Roman" w:cs="Times New Roman"/>
        </w:rPr>
      </w:pPr>
      <w:r>
        <w:rPr>
          <w:rFonts w:ascii="Times New Roman" w:eastAsia="Times New Roman" w:hAnsi="Times New Roman" w:cs="Times New Roman"/>
        </w:rPr>
        <w:t xml:space="preserve">Moss, H. St L. B. </w:t>
      </w:r>
      <w:r>
        <w:rPr>
          <w:rFonts w:ascii="Times New Roman" w:eastAsia="Times New Roman" w:hAnsi="Times New Roman" w:cs="Times New Roman"/>
          <w:i/>
        </w:rPr>
        <w:t>The Birth of the Middle Ages: 395-814</w:t>
      </w:r>
      <w:r>
        <w:rPr>
          <w:rFonts w:ascii="Times New Roman" w:eastAsia="Times New Roman" w:hAnsi="Times New Roman" w:cs="Times New Roman"/>
        </w:rPr>
        <w:t xml:space="preserve">. The Folio Society, 1998. </w:t>
      </w:r>
    </w:p>
    <w:p w14:paraId="40508FAE" w14:textId="5AEDB93F"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Rittgers, Ronald K. </w:t>
      </w:r>
      <w:r>
        <w:rPr>
          <w:rFonts w:ascii="Times New Roman" w:eastAsia="Times New Roman" w:hAnsi="Times New Roman" w:cs="Times New Roman"/>
          <w:i/>
        </w:rPr>
        <w:t>The reformation of suffering: Pastoral theology and lay piety in late medieval and</w:t>
      </w:r>
      <w:r w:rsidR="005D0236">
        <w:rPr>
          <w:rFonts w:ascii="Times New Roman" w:eastAsia="Times New Roman" w:hAnsi="Times New Roman" w:cs="Times New Roman"/>
          <w:i/>
        </w:rPr>
        <w:t xml:space="preserve"> </w:t>
      </w:r>
      <w:r>
        <w:rPr>
          <w:rFonts w:ascii="Times New Roman" w:eastAsia="Times New Roman" w:hAnsi="Times New Roman" w:cs="Times New Roman"/>
          <w:i/>
        </w:rPr>
        <w:t>early modern Germany</w:t>
      </w:r>
      <w:r>
        <w:rPr>
          <w:rFonts w:ascii="Times New Roman" w:eastAsia="Times New Roman" w:hAnsi="Times New Roman" w:cs="Times New Roman"/>
          <w:highlight w:val="white"/>
        </w:rPr>
        <w:t>. Oxford University Press, 2012.</w:t>
      </w:r>
    </w:p>
    <w:p w14:paraId="6DA4DFD3" w14:textId="77777777" w:rsidR="00A308D1" w:rsidRDefault="00A308D1" w:rsidP="008B320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highlight w:val="white"/>
        </w:rPr>
        <w:t xml:space="preserve">Stratmann, Francis Henry. </w:t>
      </w:r>
      <w:r>
        <w:rPr>
          <w:rFonts w:ascii="Times New Roman" w:eastAsia="Times New Roman" w:hAnsi="Times New Roman" w:cs="Times New Roman"/>
          <w:i/>
        </w:rPr>
        <w:t>Dictionary of the Old English Language</w:t>
      </w:r>
      <w:r>
        <w:rPr>
          <w:rFonts w:ascii="Times New Roman" w:eastAsia="Times New Roman" w:hAnsi="Times New Roman" w:cs="Times New Roman"/>
          <w:highlight w:val="white"/>
        </w:rPr>
        <w:t>. BoD–Books on Demand, 2023.</w:t>
      </w:r>
    </w:p>
    <w:p w14:paraId="692B84C8"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p w14:paraId="4591D27C" w14:textId="158599E7"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Tolkien, John Ronald Reuel. "The Homecoming of Beorhtnoth Beorhthelm's Son." </w:t>
      </w:r>
      <w:r>
        <w:rPr>
          <w:rFonts w:ascii="Times New Roman" w:eastAsia="Times New Roman" w:hAnsi="Times New Roman" w:cs="Times New Roman"/>
          <w:i/>
        </w:rPr>
        <w:t>Essays and Studies</w:t>
      </w:r>
      <w:r>
        <w:rPr>
          <w:rFonts w:ascii="Times New Roman" w:eastAsia="Times New Roman" w:hAnsi="Times New Roman" w:cs="Times New Roman"/>
          <w:highlight w:val="white"/>
        </w:rPr>
        <w:t xml:space="preserve"> 6,</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no. 1953 (1953): 1-18.</w:t>
      </w:r>
    </w:p>
    <w:p w14:paraId="0644B31F"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Fall of Arthur</w:t>
      </w:r>
      <w:r>
        <w:rPr>
          <w:rFonts w:ascii="Times New Roman" w:eastAsia="Times New Roman" w:hAnsi="Times New Roman" w:cs="Times New Roman"/>
          <w:highlight w:val="white"/>
        </w:rPr>
        <w:t>. Houghton Mifflin Harcourt, 2013.</w:t>
      </w:r>
    </w:p>
    <w:p w14:paraId="14985819" w14:textId="2CC3A3A6" w:rsidR="00A308D1" w:rsidRDefault="00A308D1" w:rsidP="008B320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highlight w:val="white"/>
        </w:rPr>
        <w:lastRenderedPageBreak/>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w:t>
      </w:r>
      <w:r w:rsidR="005D023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Mifflin Harcourt, 2017.</w:t>
      </w:r>
    </w:p>
    <w:p w14:paraId="33787486" w14:textId="77777777" w:rsidR="00A308D1" w:rsidRDefault="00A308D1" w:rsidP="00A308D1">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Tolkien, Priscilla. "The Biography." </w:t>
      </w:r>
      <w:r>
        <w:rPr>
          <w:rFonts w:ascii="Times New Roman" w:eastAsia="Times New Roman" w:hAnsi="Times New Roman" w:cs="Times New Roman"/>
          <w:i/>
        </w:rPr>
        <w:t>Mallorn: The Journal of the Tolkien Society</w:t>
      </w:r>
      <w:r>
        <w:rPr>
          <w:rFonts w:ascii="Times New Roman" w:eastAsia="Times New Roman" w:hAnsi="Times New Roman" w:cs="Times New Roman"/>
          <w:highlight w:val="white"/>
        </w:rPr>
        <w:t xml:space="preserve"> 12 (1978): 5-6.</w:t>
      </w:r>
    </w:p>
    <w:p w14:paraId="2F1B106C" w14:textId="4FC9AF34"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Watson, Nicholas. "The Powers of the Holy: Religion, Politics, and Gender in Late Medieval English Culture by David Aers and Lynn Staley." </w:t>
      </w:r>
      <w:r>
        <w:rPr>
          <w:rFonts w:ascii="Times New Roman" w:eastAsia="Times New Roman" w:hAnsi="Times New Roman" w:cs="Times New Roman"/>
          <w:i/>
        </w:rPr>
        <w:t>Studies in the Age of Chaucer</w:t>
      </w:r>
      <w:r>
        <w:rPr>
          <w:rFonts w:ascii="Times New Roman" w:eastAsia="Times New Roman" w:hAnsi="Times New Roman" w:cs="Times New Roman"/>
          <w:highlight w:val="white"/>
        </w:rPr>
        <w:t xml:space="preserve"> 20, no. 1 (1998):219-226.</w:t>
      </w:r>
    </w:p>
    <w:p w14:paraId="3C51CD9C" w14:textId="182B1FC9"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Witt, William G., and Joel Scandrett. </w:t>
      </w:r>
      <w:r>
        <w:rPr>
          <w:rFonts w:ascii="Times New Roman" w:eastAsia="Times New Roman" w:hAnsi="Times New Roman" w:cs="Times New Roman"/>
          <w:i/>
        </w:rPr>
        <w:t>Mapping Atonement: The Doctrine of Reconciliation in Christian</w:t>
      </w:r>
      <w:r w:rsidR="005D0236">
        <w:rPr>
          <w:rFonts w:ascii="Times New Roman" w:eastAsia="Times New Roman" w:hAnsi="Times New Roman" w:cs="Times New Roman"/>
          <w:i/>
        </w:rPr>
        <w:t xml:space="preserve"> </w:t>
      </w:r>
      <w:r>
        <w:rPr>
          <w:rFonts w:ascii="Times New Roman" w:eastAsia="Times New Roman" w:hAnsi="Times New Roman" w:cs="Times New Roman"/>
          <w:i/>
        </w:rPr>
        <w:t>History and Theology</w:t>
      </w:r>
      <w:r>
        <w:rPr>
          <w:rFonts w:ascii="Times New Roman" w:eastAsia="Times New Roman" w:hAnsi="Times New Roman" w:cs="Times New Roman"/>
          <w:highlight w:val="white"/>
        </w:rPr>
        <w:t>. Baker Books, 2022.</w:t>
      </w:r>
    </w:p>
    <w:p w14:paraId="2949B35D" w14:textId="5092E8EA" w:rsidR="00A308D1" w:rsidRDefault="00A308D1" w:rsidP="008B320D">
      <w:pPr>
        <w:spacing w:line="480" w:lineRule="auto"/>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Zaleski, Philip, and Carol Zaleski. </w:t>
      </w:r>
      <w:r>
        <w:rPr>
          <w:rFonts w:ascii="Times New Roman" w:eastAsia="Times New Roman" w:hAnsi="Times New Roman" w:cs="Times New Roman"/>
          <w:i/>
        </w:rPr>
        <w:t>The Fellowship: The Literary Lives of the Inklings: JRR Tolkien, C</w:t>
      </w:r>
      <w:r w:rsidR="005D0236">
        <w:rPr>
          <w:rFonts w:ascii="Times New Roman" w:eastAsia="Times New Roman" w:hAnsi="Times New Roman" w:cs="Times New Roman"/>
          <w:i/>
        </w:rPr>
        <w:t xml:space="preserve">.S. </w:t>
      </w:r>
      <w:r>
        <w:rPr>
          <w:rFonts w:ascii="Times New Roman" w:eastAsia="Times New Roman" w:hAnsi="Times New Roman" w:cs="Times New Roman"/>
          <w:i/>
        </w:rPr>
        <w:t>Lewis, Owen Barfield, Charles Williams</w:t>
      </w:r>
      <w:r>
        <w:rPr>
          <w:rFonts w:ascii="Times New Roman" w:eastAsia="Times New Roman" w:hAnsi="Times New Roman" w:cs="Times New Roman"/>
          <w:highlight w:val="white"/>
        </w:rPr>
        <w:t>. Farrar, Straus and Giroux, 2015.</w:t>
      </w:r>
    </w:p>
    <w:p w14:paraId="5F4343EF"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279B79D1"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30217AD6"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286FDFD1"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3F591AAA"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10395669"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669B33C5"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79363D40"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03BB5227"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7BA92BDD" w14:textId="77777777" w:rsidR="00964ED3" w:rsidRDefault="00964ED3" w:rsidP="008B320D">
      <w:pPr>
        <w:spacing w:line="480" w:lineRule="auto"/>
        <w:ind w:left="720" w:hanging="720"/>
        <w:rPr>
          <w:rFonts w:ascii="Times New Roman" w:eastAsia="Times New Roman" w:hAnsi="Times New Roman" w:cs="Times New Roman"/>
          <w:highlight w:val="white"/>
        </w:rPr>
      </w:pPr>
    </w:p>
    <w:p w14:paraId="7615878C" w14:textId="77777777" w:rsidR="00E33F5C" w:rsidRDefault="00E33F5C" w:rsidP="00E33F5C">
      <w:pPr>
        <w:pStyle w:val="p1"/>
      </w:pPr>
    </w:p>
    <w:p w14:paraId="12F1D6E3" w14:textId="148BAC5C" w:rsidR="004C2E2D" w:rsidRDefault="009909BE" w:rsidP="004C2E2D">
      <w:pPr>
        <w:rPr>
          <w:rFonts w:ascii="Bodoni MT" w:hAnsi="Bodoni MT" w:cs="Times New Roman"/>
          <w:i/>
          <w:iCs/>
          <w:sz w:val="40"/>
          <w:szCs w:val="40"/>
        </w:rPr>
      </w:pPr>
      <w:r>
        <w:rPr>
          <w:rFonts w:ascii="Bodoni MT" w:hAnsi="Bodoni MT" w:cs="Times New Roman"/>
          <w:i/>
          <w:iCs/>
          <w:sz w:val="40"/>
          <w:szCs w:val="40"/>
        </w:rPr>
        <w:t>Weaponization of Belief</w:t>
      </w:r>
    </w:p>
    <w:p w14:paraId="62CD8FB7" w14:textId="1BBC68E6" w:rsidR="004C2E2D" w:rsidRPr="00E61647" w:rsidRDefault="009909BE" w:rsidP="009909BE">
      <w:pPr>
        <w:pStyle w:val="p1"/>
        <w:rPr>
          <w:rFonts w:ascii="Bodoni MT" w:hAnsi="Bodoni MT"/>
          <w:i/>
          <w:iCs/>
          <w:sz w:val="32"/>
          <w:szCs w:val="32"/>
        </w:rPr>
      </w:pPr>
      <w:r>
        <w:rPr>
          <w:rFonts w:ascii="Bodoni MT" w:hAnsi="Bodoni MT"/>
          <w:sz w:val="32"/>
          <w:szCs w:val="32"/>
        </w:rPr>
        <w:t xml:space="preserve">An Analysis of Shia Asymmetric Strategy in the Red Sea </w:t>
      </w:r>
      <w:r w:rsidR="004C2E2D">
        <w:rPr>
          <w:rFonts w:ascii="Bodoni MT" w:hAnsi="Bodoni MT"/>
          <w:sz w:val="32"/>
          <w:szCs w:val="32"/>
        </w:rPr>
        <w:t xml:space="preserve"> </w:t>
      </w:r>
    </w:p>
    <w:p w14:paraId="030F43BD" w14:textId="76EE21CB" w:rsidR="004C2E2D" w:rsidRPr="00BB2859" w:rsidRDefault="001E5AE1" w:rsidP="004C2E2D">
      <w:pPr>
        <w:rPr>
          <w:rFonts w:ascii="Times New Roman" w:hAnsi="Times New Roman" w:cs="Times New Roman"/>
        </w:rPr>
      </w:pPr>
      <w:r>
        <w:rPr>
          <w:rFonts w:ascii="Bodoni MT" w:hAnsi="Bodoni MT" w:cs="Times New Roman"/>
        </w:rPr>
        <w:t>C.G. Daniels</w:t>
      </w:r>
    </w:p>
    <w:p w14:paraId="7BA65E7B" w14:textId="77777777" w:rsidR="004C2E2D" w:rsidRDefault="004C2E2D" w:rsidP="004C2E2D">
      <w:pPr>
        <w:rPr>
          <w:rFonts w:ascii="Bodoni MT" w:hAnsi="Bodoni MT" w:cs="Times New Roman"/>
          <w:sz w:val="48"/>
          <w:szCs w:val="48"/>
        </w:rPr>
      </w:pPr>
    </w:p>
    <w:p w14:paraId="38839710" w14:textId="77777777" w:rsidR="004C2E2D" w:rsidRDefault="004C2E2D" w:rsidP="004C2E2D">
      <w:pPr>
        <w:rPr>
          <w:rFonts w:ascii="Bodoni MT" w:hAnsi="Bodoni MT" w:cs="Times New Roman"/>
          <w:i/>
          <w:iCs/>
          <w:sz w:val="32"/>
          <w:szCs w:val="32"/>
        </w:rPr>
      </w:pPr>
      <w:r>
        <w:rPr>
          <w:rFonts w:ascii="Bodoni MT" w:hAnsi="Bodoni MT" w:cs="Times New Roman"/>
          <w:i/>
          <w:iCs/>
          <w:noProof/>
          <w:sz w:val="32"/>
          <w:szCs w:val="32"/>
        </w:rPr>
        <mc:AlternateContent>
          <mc:Choice Requires="wps">
            <w:drawing>
              <wp:anchor distT="0" distB="0" distL="114300" distR="114300" simplePos="0" relativeHeight="251667456" behindDoc="0" locked="0" layoutInCell="1" allowOverlap="1" wp14:anchorId="5FD6A15C" wp14:editId="47F92475">
                <wp:simplePos x="0" y="0"/>
                <wp:positionH relativeFrom="margin">
                  <wp:posOffset>683741</wp:posOffset>
                </wp:positionH>
                <wp:positionV relativeFrom="paragraph">
                  <wp:posOffset>185849</wp:posOffset>
                </wp:positionV>
                <wp:extent cx="5272216" cy="0"/>
                <wp:effectExtent l="0" t="0" r="0" b="0"/>
                <wp:wrapNone/>
                <wp:docPr id="1606415640" name="Straight Connector 2"/>
                <wp:cNvGraphicFramePr/>
                <a:graphic xmlns:a="http://schemas.openxmlformats.org/drawingml/2006/main">
                  <a:graphicData uri="http://schemas.microsoft.com/office/word/2010/wordprocessingShape">
                    <wps:wsp>
                      <wps:cNvCnPr/>
                      <wps:spPr>
                        <a:xfrm>
                          <a:off x="0" y="0"/>
                          <a:ext cx="5272216"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6D3DA8A"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85pt,14.65pt" to="469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" strokecolor="black [3200]" strokeweight="1pt">
                <v:stroke joinstyle="miter"/>
                <w10:wrap anchorx="margin"/>
              </v:line>
            </w:pict>
          </mc:Fallback>
        </mc:AlternateContent>
      </w:r>
      <w:r w:rsidRPr="00751207">
        <w:rPr>
          <w:rFonts w:ascii="Bodoni MT" w:hAnsi="Bodoni MT" w:cs="Times New Roman"/>
          <w:i/>
          <w:iCs/>
          <w:sz w:val="32"/>
          <w:szCs w:val="32"/>
        </w:rPr>
        <w:t>Abstract</w:t>
      </w:r>
    </w:p>
    <w:p w14:paraId="2B470D51" w14:textId="52B4320A" w:rsidR="004C2E2D" w:rsidRPr="001E5AE1" w:rsidRDefault="001E5AE1" w:rsidP="001E5AE1">
      <w:pPr>
        <w:spacing w:line="276" w:lineRule="auto"/>
        <w:ind w:firstLine="720"/>
        <w:rPr>
          <w:rFonts w:ascii="Times New Roman" w:eastAsia="Times New Roman" w:hAnsi="Times New Roman" w:cs="Times New Roman"/>
        </w:rPr>
      </w:pPr>
      <w:r w:rsidRPr="001E5AE1">
        <w:rPr>
          <w:rFonts w:ascii="Times New Roman" w:hAnsi="Times New Roman" w:cs="Times New Roman"/>
          <w:color w:val="000000"/>
          <w:shd w:val="clear" w:color="auto" w:fill="FFFFFF"/>
        </w:rPr>
        <w:t>Interrogating its use of strategic geography and Shi’ism as a vehicle for ethno-political identity, this paper examines how the Islamic Republic of Iran has effectively leveraged its ideological framework and geostrategic landscape as a durable proxy-based model of asymmetric warfare in the Red Sea region. This analysis contends that Iran’s geopolitical behavior cannot be understood solely through the lens of conventional statecraft but must be examined as a deliberate theological and ideological project. Iran’s model leverages ideology, geography, and technological innovation to advance a long-term buffer strategy against Western influence and regional competitors. Drawing on perspectives of Iranian civilizational continuity, this study traces how Iran has used Shia Islam to cultivate regional proxies such as the Houthis, projecting soft power and doctrinal influence far beyond its borders. The study utilizes data from the United Nations Conference on Trade and Development (UNCTAD), the International Energy Agency (IEA), and Defense Intelligence Agency (DIA) reports to assess the economic and geopolitical impact of these strategies. The Red Sea, once a symbol of maritime cooperation, now reflects the ideological fault lines of 21st-century geopolitical competition, demanding a re-evaluation of counterstrategy in asymmetric environments. This study concludes that Iran’s use of belief as a mobilization framework not only creates plausible deniability but displays a unique form of asymmetric operability that erodes traditional notions of deterrence and sovereignty.</w:t>
      </w:r>
    </w:p>
    <w:p w14:paraId="6DAC66A7" w14:textId="2EF0B5EE" w:rsidR="00D235F1" w:rsidRDefault="00D235F1" w:rsidP="00D235F1">
      <w:pPr>
        <w:rPr>
          <w:rFonts w:ascii="Bodoni MT" w:hAnsi="Bodoni MT" w:cs="Times New Roman"/>
          <w:i/>
          <w:iCs/>
          <w:sz w:val="32"/>
          <w:szCs w:val="32"/>
        </w:rPr>
      </w:pPr>
      <w:r>
        <w:rPr>
          <w:rFonts w:ascii="Bodoni MT" w:hAnsi="Bodoni MT" w:cs="Times New Roman"/>
          <w:i/>
          <w:iCs/>
          <w:noProof/>
          <w:sz w:val="32"/>
          <w:szCs w:val="32"/>
        </w:rPr>
        <mc:AlternateContent>
          <mc:Choice Requires="wps">
            <w:drawing>
              <wp:anchor distT="0" distB="0" distL="114300" distR="114300" simplePos="0" relativeHeight="251669504" behindDoc="0" locked="0" layoutInCell="1" allowOverlap="1" wp14:anchorId="09EB1805" wp14:editId="3058E736">
                <wp:simplePos x="0" y="0"/>
                <wp:positionH relativeFrom="margin">
                  <wp:posOffset>-7257</wp:posOffset>
                </wp:positionH>
                <wp:positionV relativeFrom="paragraph">
                  <wp:posOffset>188414</wp:posOffset>
                </wp:positionV>
                <wp:extent cx="5961198" cy="0"/>
                <wp:effectExtent l="0" t="0" r="8255" b="12700"/>
                <wp:wrapNone/>
                <wp:docPr id="2050954913" name="Straight Connector 2"/>
                <wp:cNvGraphicFramePr/>
                <a:graphic xmlns:a="http://schemas.openxmlformats.org/drawingml/2006/main">
                  <a:graphicData uri="http://schemas.microsoft.com/office/word/2010/wordprocessingShape">
                    <wps:wsp>
                      <wps:cNvCnPr/>
                      <wps:spPr>
                        <a:xfrm>
                          <a:off x="0" y="0"/>
                          <a:ext cx="5961198"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80C369D"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4.85pt" to="468.85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" strokecolor="black [3200]" strokeweight="1pt">
                <v:stroke joinstyle="miter"/>
                <w10:wrap anchorx="margin"/>
              </v:line>
            </w:pict>
          </mc:Fallback>
        </mc:AlternateContent>
      </w:r>
    </w:p>
    <w:p w14:paraId="4A5D9CBB" w14:textId="77777777" w:rsidR="00D235F1" w:rsidRDefault="00D235F1" w:rsidP="004C2E2D">
      <w:pPr>
        <w:spacing w:line="276" w:lineRule="auto"/>
        <w:ind w:firstLine="720"/>
        <w:rPr>
          <w:rFonts w:ascii="Times New Roman" w:eastAsia="Times New Roman" w:hAnsi="Times New Roman" w:cs="Times New Roman"/>
          <w:highlight w:val="white"/>
        </w:rPr>
      </w:pPr>
    </w:p>
    <w:p w14:paraId="4AC3D70E" w14:textId="77777777" w:rsidR="00D62D8C" w:rsidRPr="00D62D8C" w:rsidRDefault="00D62D8C" w:rsidP="00780D8C">
      <w:pPr>
        <w:pStyle w:val="p1"/>
        <w:spacing w:line="480" w:lineRule="auto"/>
        <w:jc w:val="center"/>
        <w:rPr>
          <w:sz w:val="24"/>
          <w:szCs w:val="24"/>
        </w:rPr>
      </w:pPr>
      <w:r w:rsidRPr="00D62D8C">
        <w:rPr>
          <w:b/>
          <w:bCs/>
          <w:sz w:val="24"/>
          <w:szCs w:val="24"/>
        </w:rPr>
        <w:t>Landscape and Ideological Exceptionalism</w:t>
      </w:r>
    </w:p>
    <w:p w14:paraId="561E1FFB" w14:textId="4017BA7F" w:rsidR="00D62D8C" w:rsidRPr="00D62D8C" w:rsidRDefault="00D62D8C" w:rsidP="00D62D8C">
      <w:pPr>
        <w:pStyle w:val="p1"/>
        <w:spacing w:line="480" w:lineRule="auto"/>
        <w:rPr>
          <w:sz w:val="24"/>
          <w:szCs w:val="24"/>
        </w:rPr>
      </w:pPr>
      <w:r w:rsidRPr="00D62D8C">
        <w:rPr>
          <w:sz w:val="24"/>
          <w:szCs w:val="24"/>
        </w:rPr>
        <w:t>The central Asian landscape has long functioned as a corridor of exchange for culture and</w:t>
      </w:r>
    </w:p>
    <w:p w14:paraId="5CBDCF9A" w14:textId="77777777" w:rsidR="00D62D8C" w:rsidRPr="00D62D8C" w:rsidRDefault="00D62D8C" w:rsidP="00D62D8C">
      <w:pPr>
        <w:pStyle w:val="p1"/>
        <w:spacing w:line="480" w:lineRule="auto"/>
        <w:rPr>
          <w:sz w:val="24"/>
          <w:szCs w:val="24"/>
        </w:rPr>
      </w:pPr>
      <w:r w:rsidRPr="00D62D8C">
        <w:rPr>
          <w:sz w:val="24"/>
          <w:szCs w:val="24"/>
        </w:rPr>
        <w:t>commerce, its rugged expanse being the milieu for the ascent and decline of world empires.</w:t>
      </w:r>
    </w:p>
    <w:p w14:paraId="78D2249A" w14:textId="77777777" w:rsidR="00D62D8C" w:rsidRPr="00D62D8C" w:rsidRDefault="00D62D8C" w:rsidP="00D62D8C">
      <w:pPr>
        <w:pStyle w:val="p1"/>
        <w:spacing w:line="480" w:lineRule="auto"/>
        <w:rPr>
          <w:sz w:val="24"/>
          <w:szCs w:val="24"/>
        </w:rPr>
      </w:pPr>
      <w:r w:rsidRPr="00D62D8C">
        <w:rPr>
          <w:sz w:val="24"/>
          <w:szCs w:val="24"/>
        </w:rPr>
        <w:t>Flanking Iran’s westward border, the Zagros Mountains, formed by the convergence of the</w:t>
      </w:r>
    </w:p>
    <w:p w14:paraId="30D32A19" w14:textId="77777777" w:rsidR="00D62D8C" w:rsidRPr="00D62D8C" w:rsidRDefault="00D62D8C" w:rsidP="00D62D8C">
      <w:pPr>
        <w:pStyle w:val="p1"/>
        <w:spacing w:line="480" w:lineRule="auto"/>
        <w:rPr>
          <w:sz w:val="24"/>
          <w:szCs w:val="24"/>
        </w:rPr>
      </w:pPr>
      <w:r w:rsidRPr="00D62D8C">
        <w:rPr>
          <w:sz w:val="24"/>
          <w:szCs w:val="24"/>
        </w:rPr>
        <w:t>Eurasian and Arabian plates, stretch from the eastern edges of Iraq and Turkey to the Strait of</w:t>
      </w:r>
    </w:p>
    <w:p w14:paraId="3002C831" w14:textId="77777777" w:rsidR="00D62D8C" w:rsidRPr="00D62D8C" w:rsidRDefault="00D62D8C" w:rsidP="00D62D8C">
      <w:pPr>
        <w:pStyle w:val="p1"/>
        <w:spacing w:line="480" w:lineRule="auto"/>
        <w:rPr>
          <w:sz w:val="24"/>
          <w:szCs w:val="24"/>
        </w:rPr>
      </w:pPr>
      <w:r w:rsidRPr="00D62D8C">
        <w:rPr>
          <w:sz w:val="24"/>
          <w:szCs w:val="24"/>
        </w:rPr>
        <w:t>Hormuz. This significant terrain feature has over the centuries helped form a boundary for the</w:t>
      </w:r>
    </w:p>
    <w:p w14:paraId="75C6C1BC" w14:textId="77777777" w:rsidR="00D62D8C" w:rsidRPr="00D62D8C" w:rsidRDefault="00D62D8C" w:rsidP="00D62D8C">
      <w:pPr>
        <w:pStyle w:val="p1"/>
        <w:spacing w:line="480" w:lineRule="auto"/>
        <w:rPr>
          <w:sz w:val="24"/>
          <w:szCs w:val="24"/>
        </w:rPr>
      </w:pPr>
      <w:r w:rsidRPr="00D62D8C">
        <w:rPr>
          <w:sz w:val="24"/>
          <w:szCs w:val="24"/>
        </w:rPr>
        <w:t>incubation of culture and ideas while also positioning Iran as a “fortress nation” to a plethora of</w:t>
      </w:r>
    </w:p>
    <w:p w14:paraId="65034381" w14:textId="77777777" w:rsidR="00D62D8C" w:rsidRPr="00D62D8C" w:rsidRDefault="00D62D8C" w:rsidP="00D62D8C">
      <w:pPr>
        <w:pStyle w:val="p1"/>
        <w:spacing w:line="480" w:lineRule="auto"/>
        <w:rPr>
          <w:sz w:val="24"/>
          <w:szCs w:val="24"/>
        </w:rPr>
      </w:pPr>
      <w:r w:rsidRPr="00D62D8C">
        <w:rPr>
          <w:sz w:val="24"/>
          <w:szCs w:val="24"/>
        </w:rPr>
        <w:t>adversaries from the time of Alexander the Great. Iran’s Zoroastrian religion was free to thrive</w:t>
      </w:r>
    </w:p>
    <w:p w14:paraId="732E8AFD" w14:textId="058422DA" w:rsidR="00D62D8C" w:rsidRPr="00D62D8C" w:rsidRDefault="00D62D8C" w:rsidP="00D62D8C">
      <w:pPr>
        <w:pStyle w:val="p1"/>
        <w:spacing w:line="480" w:lineRule="auto"/>
        <w:rPr>
          <w:sz w:val="24"/>
          <w:szCs w:val="24"/>
        </w:rPr>
      </w:pPr>
      <w:r w:rsidRPr="00D62D8C">
        <w:rPr>
          <w:sz w:val="24"/>
          <w:szCs w:val="24"/>
        </w:rPr>
        <w:t>unimpeded by prevailing Abrahamic developments to the west until the Arab conquests of the 7</w:t>
      </w:r>
      <w:r w:rsidRPr="009C761E">
        <w:rPr>
          <w:rStyle w:val="s1"/>
          <w:sz w:val="24"/>
          <w:szCs w:val="24"/>
          <w:vertAlign w:val="superscript"/>
        </w:rPr>
        <w:t>th</w:t>
      </w:r>
      <w:r w:rsidR="009C761E">
        <w:rPr>
          <w:sz w:val="24"/>
          <w:szCs w:val="24"/>
        </w:rPr>
        <w:t xml:space="preserve"> </w:t>
      </w:r>
      <w:r w:rsidRPr="00D62D8C">
        <w:rPr>
          <w:sz w:val="24"/>
          <w:szCs w:val="24"/>
        </w:rPr>
        <w:t>century. Even prior to the arrival of the Arabs, Iranian civilization long held an extremely rich</w:t>
      </w:r>
    </w:p>
    <w:p w14:paraId="5B9704C5" w14:textId="77777777" w:rsidR="00D62D8C" w:rsidRPr="00D62D8C" w:rsidRDefault="00D62D8C" w:rsidP="00D62D8C">
      <w:pPr>
        <w:pStyle w:val="p1"/>
        <w:spacing w:line="480" w:lineRule="auto"/>
        <w:rPr>
          <w:sz w:val="24"/>
          <w:szCs w:val="24"/>
        </w:rPr>
      </w:pPr>
      <w:r w:rsidRPr="00D62D8C">
        <w:rPr>
          <w:sz w:val="24"/>
          <w:szCs w:val="24"/>
        </w:rPr>
        <w:t>cultural history deeply embedded in a structure of successive empires, yet behind this</w:t>
      </w:r>
    </w:p>
    <w:p w14:paraId="4B9ED2F5" w14:textId="77777777" w:rsidR="00D62D8C" w:rsidRPr="00D62D8C" w:rsidRDefault="00D62D8C" w:rsidP="00D62D8C">
      <w:pPr>
        <w:pStyle w:val="p1"/>
        <w:spacing w:line="480" w:lineRule="auto"/>
        <w:rPr>
          <w:sz w:val="24"/>
          <w:szCs w:val="24"/>
        </w:rPr>
      </w:pPr>
      <w:r w:rsidRPr="00D62D8C">
        <w:rPr>
          <w:sz w:val="24"/>
          <w:szCs w:val="24"/>
        </w:rPr>
        <w:lastRenderedPageBreak/>
        <w:t>mountainous curtain, Islam underwent interpretation through the lens of Iranian civilization.</w:t>
      </w:r>
    </w:p>
    <w:p w14:paraId="270FCF3B" w14:textId="77777777" w:rsidR="00D62D8C" w:rsidRPr="00D62D8C" w:rsidRDefault="00D62D8C" w:rsidP="00D62D8C">
      <w:pPr>
        <w:pStyle w:val="p1"/>
        <w:spacing w:line="480" w:lineRule="auto"/>
        <w:rPr>
          <w:sz w:val="24"/>
          <w:szCs w:val="24"/>
        </w:rPr>
      </w:pPr>
      <w:r w:rsidRPr="00D62D8C">
        <w:rPr>
          <w:sz w:val="24"/>
          <w:szCs w:val="24"/>
        </w:rPr>
        <w:t>During their conquest of Iran, nomadic, Semitic-speaking Arabs under the Rashidun Caliphate,</w:t>
      </w:r>
    </w:p>
    <w:p w14:paraId="248DD630" w14:textId="77777777" w:rsidR="00D62D8C" w:rsidRPr="00D62D8C" w:rsidRDefault="00D62D8C" w:rsidP="00D62D8C">
      <w:pPr>
        <w:pStyle w:val="p1"/>
        <w:spacing w:line="480" w:lineRule="auto"/>
        <w:rPr>
          <w:sz w:val="24"/>
          <w:szCs w:val="24"/>
        </w:rPr>
      </w:pPr>
      <w:r w:rsidRPr="00D62D8C">
        <w:rPr>
          <w:sz w:val="24"/>
          <w:szCs w:val="24"/>
        </w:rPr>
        <w:t>encountered an Indo-Aryan people with sprawling cities and vibrant artistic forms. The native’s</w:t>
      </w:r>
    </w:p>
    <w:p w14:paraId="705EBB6A" w14:textId="77777777" w:rsidR="00D62D8C" w:rsidRPr="00D62D8C" w:rsidRDefault="00D62D8C" w:rsidP="00D62D8C">
      <w:pPr>
        <w:pStyle w:val="p1"/>
        <w:spacing w:line="480" w:lineRule="auto"/>
        <w:rPr>
          <w:sz w:val="24"/>
          <w:szCs w:val="24"/>
        </w:rPr>
      </w:pPr>
      <w:r w:rsidRPr="00D62D8C">
        <w:rPr>
          <w:sz w:val="24"/>
          <w:szCs w:val="24"/>
        </w:rPr>
        <w:t>Zoroastrianism had long tempered their spirituality with a deep asceticism, dualistic belief in</w:t>
      </w:r>
    </w:p>
    <w:p w14:paraId="7D48B263" w14:textId="77777777" w:rsidR="00D62D8C" w:rsidRPr="00D62D8C" w:rsidRDefault="00D62D8C" w:rsidP="00D62D8C">
      <w:pPr>
        <w:pStyle w:val="p1"/>
        <w:spacing w:line="480" w:lineRule="auto"/>
        <w:rPr>
          <w:sz w:val="24"/>
          <w:szCs w:val="24"/>
        </w:rPr>
      </w:pPr>
      <w:r w:rsidRPr="00D62D8C">
        <w:rPr>
          <w:sz w:val="24"/>
          <w:szCs w:val="24"/>
        </w:rPr>
        <w:t>good versus evil, and a priestly class that still loosely echoes Iran’s modern clerical system</w:t>
      </w:r>
    </w:p>
    <w:p w14:paraId="68F07AEC" w14:textId="77777777" w:rsidR="00D62D8C" w:rsidRPr="00D62D8C" w:rsidRDefault="00D62D8C" w:rsidP="00D62D8C">
      <w:pPr>
        <w:pStyle w:val="p1"/>
        <w:spacing w:line="480" w:lineRule="auto"/>
        <w:rPr>
          <w:sz w:val="24"/>
          <w:szCs w:val="24"/>
        </w:rPr>
      </w:pPr>
      <w:r w:rsidRPr="00D62D8C">
        <w:rPr>
          <w:sz w:val="24"/>
          <w:szCs w:val="24"/>
        </w:rPr>
        <w:t>(Akbar, 92).</w:t>
      </w:r>
    </w:p>
    <w:p w14:paraId="6CA88C6B" w14:textId="695A6E21" w:rsidR="00D62D8C" w:rsidRPr="00D62D8C" w:rsidRDefault="00AA1924" w:rsidP="00D62D8C">
      <w:pPr>
        <w:pStyle w:val="p1"/>
        <w:spacing w:line="480" w:lineRule="auto"/>
        <w:rPr>
          <w:sz w:val="24"/>
          <w:szCs w:val="24"/>
        </w:rPr>
      </w:pPr>
      <w:r>
        <w:rPr>
          <w:sz w:val="24"/>
          <w:szCs w:val="24"/>
        </w:rPr>
        <w:tab/>
      </w:r>
      <w:r w:rsidR="00D62D8C" w:rsidRPr="00D62D8C">
        <w:rPr>
          <w:sz w:val="24"/>
          <w:szCs w:val="24"/>
        </w:rPr>
        <w:t xml:space="preserve">In his 2001 piece, </w:t>
      </w:r>
      <w:r w:rsidR="00D62D8C" w:rsidRPr="00D62D8C">
        <w:rPr>
          <w:i/>
          <w:iCs/>
          <w:sz w:val="24"/>
          <w:szCs w:val="24"/>
        </w:rPr>
        <w:t>Iran in History</w:t>
      </w:r>
      <w:r w:rsidR="00D62D8C" w:rsidRPr="00D62D8C">
        <w:rPr>
          <w:sz w:val="24"/>
          <w:szCs w:val="24"/>
        </w:rPr>
        <w:t>, historian Bernard Lewis explains how Islam</w:t>
      </w:r>
    </w:p>
    <w:p w14:paraId="191FD92A" w14:textId="77777777" w:rsidR="00D62D8C" w:rsidRPr="00D62D8C" w:rsidRDefault="00D62D8C" w:rsidP="00D62D8C">
      <w:pPr>
        <w:pStyle w:val="p1"/>
        <w:spacing w:line="480" w:lineRule="auto"/>
        <w:rPr>
          <w:sz w:val="24"/>
          <w:szCs w:val="24"/>
        </w:rPr>
      </w:pPr>
      <w:r w:rsidRPr="00D62D8C">
        <w:rPr>
          <w:sz w:val="24"/>
          <w:szCs w:val="24"/>
        </w:rPr>
        <w:t>blossomed in Iran as its own, organic cultural manifestation, as a “Persian Islam,” distinct from</w:t>
      </w:r>
    </w:p>
    <w:p w14:paraId="75DAD022" w14:textId="77777777" w:rsidR="00D62D8C" w:rsidRPr="00D62D8C" w:rsidRDefault="00D62D8C" w:rsidP="00D62D8C">
      <w:pPr>
        <w:pStyle w:val="p1"/>
        <w:spacing w:line="480" w:lineRule="auto"/>
        <w:rPr>
          <w:sz w:val="24"/>
          <w:szCs w:val="24"/>
        </w:rPr>
      </w:pPr>
      <w:r w:rsidRPr="00D62D8C">
        <w:rPr>
          <w:sz w:val="24"/>
          <w:szCs w:val="24"/>
        </w:rPr>
        <w:t>“Arab Islam,” highlighting Iran’s local assimilation of Islam as a nationalized religious</w:t>
      </w:r>
    </w:p>
    <w:p w14:paraId="666FAB2D" w14:textId="77777777" w:rsidR="00D62D8C" w:rsidRPr="00D62D8C" w:rsidRDefault="00D62D8C" w:rsidP="00D62D8C">
      <w:pPr>
        <w:pStyle w:val="p1"/>
        <w:spacing w:line="480" w:lineRule="auto"/>
        <w:rPr>
          <w:sz w:val="24"/>
          <w:szCs w:val="24"/>
        </w:rPr>
      </w:pPr>
      <w:r w:rsidRPr="00D62D8C">
        <w:rPr>
          <w:sz w:val="24"/>
          <w:szCs w:val="24"/>
        </w:rPr>
        <w:t>phenomenon that shaped the region’s cultural landscape. Lewis notes that following the defeat of</w:t>
      </w:r>
    </w:p>
    <w:p w14:paraId="6506BCBB" w14:textId="77777777" w:rsidR="00D62D8C" w:rsidRPr="00D62D8C" w:rsidRDefault="00D62D8C" w:rsidP="00D62D8C">
      <w:pPr>
        <w:pStyle w:val="p1"/>
        <w:spacing w:line="480" w:lineRule="auto"/>
        <w:rPr>
          <w:sz w:val="24"/>
          <w:szCs w:val="24"/>
        </w:rPr>
      </w:pPr>
      <w:r w:rsidRPr="00D62D8C">
        <w:rPr>
          <w:sz w:val="24"/>
          <w:szCs w:val="24"/>
        </w:rPr>
        <w:t>the Sasanian Empire, “Iran was indeed Islamized, but it was not Arabized. Persians remained</w:t>
      </w:r>
    </w:p>
    <w:p w14:paraId="4E83348A" w14:textId="77777777" w:rsidR="00D62D8C" w:rsidRPr="00D62D8C" w:rsidRDefault="00D62D8C" w:rsidP="00D62D8C">
      <w:pPr>
        <w:pStyle w:val="p1"/>
        <w:spacing w:line="480" w:lineRule="auto"/>
        <w:rPr>
          <w:sz w:val="24"/>
          <w:szCs w:val="24"/>
        </w:rPr>
      </w:pPr>
      <w:r w:rsidRPr="00D62D8C">
        <w:rPr>
          <w:sz w:val="24"/>
          <w:szCs w:val="24"/>
        </w:rPr>
        <w:t>Persians. And after an interval of silence, Iran reemerged as a separate, different and distinctive</w:t>
      </w:r>
    </w:p>
    <w:p w14:paraId="1A836D79" w14:textId="77777777" w:rsidR="00D62D8C" w:rsidRPr="00D62D8C" w:rsidRDefault="00D62D8C" w:rsidP="00D62D8C">
      <w:pPr>
        <w:pStyle w:val="p1"/>
        <w:spacing w:line="480" w:lineRule="auto"/>
        <w:rPr>
          <w:sz w:val="24"/>
          <w:szCs w:val="24"/>
        </w:rPr>
      </w:pPr>
      <w:r w:rsidRPr="00D62D8C">
        <w:rPr>
          <w:sz w:val="24"/>
          <w:szCs w:val="24"/>
        </w:rPr>
        <w:t>element within Islam, eventually adding a new element even to Islam itself. Culturally,</w:t>
      </w:r>
    </w:p>
    <w:p w14:paraId="3F0B7E8B" w14:textId="77777777" w:rsidR="00D62D8C" w:rsidRPr="00D62D8C" w:rsidRDefault="00D62D8C" w:rsidP="00D62D8C">
      <w:pPr>
        <w:pStyle w:val="p1"/>
        <w:spacing w:line="480" w:lineRule="auto"/>
        <w:rPr>
          <w:sz w:val="24"/>
          <w:szCs w:val="24"/>
        </w:rPr>
      </w:pPr>
      <w:r w:rsidRPr="00D62D8C">
        <w:rPr>
          <w:sz w:val="24"/>
          <w:szCs w:val="24"/>
        </w:rPr>
        <w:t>politically, and most remarkable of all even religiously, the Iranian contribution to this new</w:t>
      </w:r>
    </w:p>
    <w:p w14:paraId="37026E31" w14:textId="77777777" w:rsidR="00D62D8C" w:rsidRPr="00D62D8C" w:rsidRDefault="00D62D8C" w:rsidP="00D62D8C">
      <w:pPr>
        <w:pStyle w:val="p1"/>
        <w:spacing w:line="480" w:lineRule="auto"/>
        <w:rPr>
          <w:sz w:val="24"/>
          <w:szCs w:val="24"/>
        </w:rPr>
      </w:pPr>
      <w:r w:rsidRPr="00D62D8C">
        <w:rPr>
          <w:sz w:val="24"/>
          <w:szCs w:val="24"/>
        </w:rPr>
        <w:t>Islamic civilization is of immense importance" (Lewis, 2001). As the Arab world swiftly</w:t>
      </w:r>
    </w:p>
    <w:p w14:paraId="734A2384" w14:textId="77777777" w:rsidR="00D62D8C" w:rsidRPr="00D62D8C" w:rsidRDefault="00D62D8C" w:rsidP="00D62D8C">
      <w:pPr>
        <w:pStyle w:val="p1"/>
        <w:spacing w:line="480" w:lineRule="auto"/>
        <w:rPr>
          <w:sz w:val="24"/>
          <w:szCs w:val="24"/>
        </w:rPr>
      </w:pPr>
      <w:r w:rsidRPr="00D62D8C">
        <w:rPr>
          <w:sz w:val="24"/>
          <w:szCs w:val="24"/>
        </w:rPr>
        <w:t>integrated its own ethnic presence into a newfound monotheism, Iran had already conceived the</w:t>
      </w:r>
    </w:p>
    <w:p w14:paraId="7E41775C" w14:textId="77777777" w:rsidR="00D62D8C" w:rsidRPr="00D62D8C" w:rsidRDefault="00D62D8C" w:rsidP="00D62D8C">
      <w:pPr>
        <w:pStyle w:val="p1"/>
        <w:spacing w:line="480" w:lineRule="auto"/>
        <w:rPr>
          <w:sz w:val="24"/>
          <w:szCs w:val="24"/>
        </w:rPr>
      </w:pPr>
      <w:r w:rsidRPr="00D62D8C">
        <w:rPr>
          <w:sz w:val="24"/>
          <w:szCs w:val="24"/>
        </w:rPr>
        <w:t>oneness of God by way of Zoroastrianism. Though Islam began as a religious movement that</w:t>
      </w:r>
    </w:p>
    <w:p w14:paraId="308D00BB" w14:textId="77777777" w:rsidR="00D62D8C" w:rsidRPr="00D62D8C" w:rsidRDefault="00D62D8C" w:rsidP="00D62D8C">
      <w:pPr>
        <w:pStyle w:val="p1"/>
        <w:spacing w:line="480" w:lineRule="auto"/>
        <w:rPr>
          <w:sz w:val="24"/>
          <w:szCs w:val="24"/>
        </w:rPr>
      </w:pPr>
      <w:r w:rsidRPr="00D62D8C">
        <w:rPr>
          <w:sz w:val="24"/>
          <w:szCs w:val="24"/>
        </w:rPr>
        <w:t>synthesized its belief system “into a conseffion that later became a symbol of Arab self-</w:t>
      </w:r>
    </w:p>
    <w:p w14:paraId="2C61C699" w14:textId="77777777" w:rsidR="00D62D8C" w:rsidRPr="00D62D8C" w:rsidRDefault="00D62D8C" w:rsidP="00D62D8C">
      <w:pPr>
        <w:pStyle w:val="p1"/>
        <w:spacing w:line="480" w:lineRule="auto"/>
        <w:rPr>
          <w:sz w:val="24"/>
          <w:szCs w:val="24"/>
        </w:rPr>
      </w:pPr>
      <w:r w:rsidRPr="00D62D8C">
        <w:rPr>
          <w:sz w:val="24"/>
          <w:szCs w:val="24"/>
        </w:rPr>
        <w:t>affirmation”, on the expansive desert plateau above the Caspian Sea, Iran’s Islamification</w:t>
      </w:r>
    </w:p>
    <w:p w14:paraId="3E0CAC0E" w14:textId="77777777" w:rsidR="00D62D8C" w:rsidRPr="00D62D8C" w:rsidRDefault="00D62D8C" w:rsidP="00D62D8C">
      <w:pPr>
        <w:pStyle w:val="p1"/>
        <w:spacing w:line="480" w:lineRule="auto"/>
        <w:rPr>
          <w:sz w:val="24"/>
          <w:szCs w:val="24"/>
        </w:rPr>
      </w:pPr>
      <w:r w:rsidRPr="00D62D8C">
        <w:rPr>
          <w:sz w:val="24"/>
          <w:szCs w:val="24"/>
        </w:rPr>
        <w:t>became a two-way funnel through which Islam was Persianized, distinguishing itself from the</w:t>
      </w:r>
    </w:p>
    <w:p w14:paraId="07317213" w14:textId="77777777" w:rsidR="00D62D8C" w:rsidRPr="00D62D8C" w:rsidRDefault="00D62D8C" w:rsidP="00D62D8C">
      <w:pPr>
        <w:pStyle w:val="p1"/>
        <w:spacing w:line="480" w:lineRule="auto"/>
        <w:rPr>
          <w:sz w:val="24"/>
          <w:szCs w:val="24"/>
        </w:rPr>
      </w:pPr>
      <w:r w:rsidRPr="00D62D8C">
        <w:rPr>
          <w:sz w:val="24"/>
          <w:szCs w:val="24"/>
        </w:rPr>
        <w:t>religion’s fundamental “Arab-ness” (Gumilev, 1990). While maintaining a predominantly Sunni</w:t>
      </w:r>
    </w:p>
    <w:p w14:paraId="0EF20657" w14:textId="77777777" w:rsidR="00D62D8C" w:rsidRPr="00D62D8C" w:rsidRDefault="00D62D8C" w:rsidP="00D62D8C">
      <w:pPr>
        <w:pStyle w:val="p1"/>
        <w:spacing w:line="480" w:lineRule="auto"/>
        <w:rPr>
          <w:sz w:val="24"/>
          <w:szCs w:val="24"/>
        </w:rPr>
      </w:pPr>
      <w:r w:rsidRPr="00D62D8C">
        <w:rPr>
          <w:sz w:val="24"/>
          <w:szCs w:val="24"/>
        </w:rPr>
        <w:t>majority for centuries after the Rashidun conquest, Shia Islam, the religious following that</w:t>
      </w:r>
    </w:p>
    <w:p w14:paraId="1B149C75" w14:textId="77777777" w:rsidR="003609C5" w:rsidRDefault="00D62D8C" w:rsidP="003609C5">
      <w:pPr>
        <w:pStyle w:val="p1"/>
        <w:spacing w:line="480" w:lineRule="auto"/>
        <w:rPr>
          <w:sz w:val="24"/>
          <w:szCs w:val="24"/>
        </w:rPr>
      </w:pPr>
      <w:r w:rsidRPr="00D62D8C">
        <w:rPr>
          <w:sz w:val="24"/>
          <w:szCs w:val="24"/>
        </w:rPr>
        <w:lastRenderedPageBreak/>
        <w:t>recognizes Ali ibn Abi Talib as the legitimate successor of the prophet Muhammed, was radically</w:t>
      </w:r>
      <w:r w:rsidR="006C6F95">
        <w:rPr>
          <w:sz w:val="24"/>
          <w:szCs w:val="24"/>
        </w:rPr>
        <w:t xml:space="preserve"> </w:t>
      </w:r>
      <w:r w:rsidRPr="00D62D8C">
        <w:rPr>
          <w:sz w:val="24"/>
          <w:szCs w:val="24"/>
        </w:rPr>
        <w:t>enforced in Iran by the Safavid Dynasty in the 16</w:t>
      </w:r>
      <w:r w:rsidRPr="00D62D8C">
        <w:rPr>
          <w:rStyle w:val="s1"/>
          <w:sz w:val="24"/>
          <w:szCs w:val="24"/>
        </w:rPr>
        <w:t>th</w:t>
      </w:r>
      <w:r w:rsidRPr="00D62D8C">
        <w:rPr>
          <w:sz w:val="24"/>
          <w:szCs w:val="24"/>
        </w:rPr>
        <w:t xml:space="preserve"> century. The introduction of Shi’ism to the</w:t>
      </w:r>
      <w:r w:rsidR="006C6F95">
        <w:rPr>
          <w:sz w:val="24"/>
          <w:szCs w:val="24"/>
        </w:rPr>
        <w:t xml:space="preserve"> </w:t>
      </w:r>
      <w:r w:rsidRPr="00D62D8C">
        <w:rPr>
          <w:sz w:val="24"/>
          <w:szCs w:val="24"/>
        </w:rPr>
        <w:t>Iranian landscape became a transformative mechanism for the nation’s political, religious, and</w:t>
      </w:r>
      <w:r w:rsidR="006C6F95">
        <w:rPr>
          <w:sz w:val="24"/>
          <w:szCs w:val="24"/>
        </w:rPr>
        <w:t xml:space="preserve"> </w:t>
      </w:r>
      <w:r w:rsidRPr="00D62D8C">
        <w:rPr>
          <w:sz w:val="24"/>
          <w:szCs w:val="24"/>
        </w:rPr>
        <w:t>political structures. Gradually, Shia Islam cemented itself as the de facto state religion. A state-sanctioned clerical order eventually arose within Iran’s newfound Shi’ism that helped to</w:t>
      </w:r>
      <w:r w:rsidR="006C6F95">
        <w:rPr>
          <w:sz w:val="24"/>
          <w:szCs w:val="24"/>
        </w:rPr>
        <w:t xml:space="preserve"> </w:t>
      </w:r>
      <w:r w:rsidRPr="00D62D8C">
        <w:rPr>
          <w:sz w:val="24"/>
          <w:szCs w:val="24"/>
        </w:rPr>
        <w:t xml:space="preserve">synthesize Shia Islam and Iranian culture, ultimately leaving both culture and religion </w:t>
      </w:r>
      <w:r w:rsidRPr="00780D8C">
        <w:rPr>
          <w:sz w:val="24"/>
          <w:szCs w:val="24"/>
        </w:rPr>
        <w:t>imprinted</w:t>
      </w:r>
      <w:r w:rsidR="006C6F95" w:rsidRPr="00780D8C">
        <w:rPr>
          <w:sz w:val="24"/>
          <w:szCs w:val="24"/>
        </w:rPr>
        <w:t xml:space="preserve"> </w:t>
      </w:r>
      <w:r w:rsidRPr="00780D8C">
        <w:rPr>
          <w:sz w:val="24"/>
          <w:szCs w:val="24"/>
        </w:rPr>
        <w:t>upon the other.</w:t>
      </w:r>
    </w:p>
    <w:p w14:paraId="63CE2F54" w14:textId="77777777" w:rsidR="003609C5" w:rsidRDefault="00657965" w:rsidP="003609C5">
      <w:pPr>
        <w:pStyle w:val="p1"/>
        <w:spacing w:line="480" w:lineRule="auto"/>
        <w:jc w:val="center"/>
        <w:rPr>
          <w:b/>
          <w:bCs/>
          <w:sz w:val="24"/>
          <w:szCs w:val="24"/>
        </w:rPr>
      </w:pPr>
      <w:r w:rsidRPr="00657965">
        <w:rPr>
          <w:b/>
          <w:bCs/>
          <w:sz w:val="24"/>
          <w:szCs w:val="24"/>
        </w:rPr>
        <w:t>Shia Identity: A bulwark against competing valu</w:t>
      </w:r>
      <w:r w:rsidR="003609C5">
        <w:rPr>
          <w:b/>
          <w:bCs/>
          <w:sz w:val="24"/>
          <w:szCs w:val="24"/>
        </w:rPr>
        <w:t>es</w:t>
      </w:r>
    </w:p>
    <w:p w14:paraId="5B52FB4E" w14:textId="77777777" w:rsidR="00AF67EE" w:rsidRDefault="00AF67EE" w:rsidP="003609C5">
      <w:pPr>
        <w:pStyle w:val="p1"/>
        <w:spacing w:line="480" w:lineRule="auto"/>
        <w:rPr>
          <w:b/>
          <w:bCs/>
          <w:sz w:val="24"/>
          <w:szCs w:val="24"/>
        </w:rPr>
      </w:pPr>
      <w:r w:rsidRPr="00657965">
        <w:rPr>
          <w:sz w:val="24"/>
          <w:szCs w:val="24"/>
        </w:rPr>
        <w:t>After deposing its western-backed monarch in its 1979 revolution, Iran’s clerical</w:t>
      </w:r>
      <w:r>
        <w:t xml:space="preserve"> </w:t>
      </w:r>
      <w:r w:rsidRPr="00657965">
        <w:rPr>
          <w:sz w:val="24"/>
          <w:szCs w:val="24"/>
        </w:rPr>
        <w:t>leadership successfully incorporated anti-imperialism into its cultural ethos, one that continues to</w:t>
      </w:r>
    </w:p>
    <w:p w14:paraId="22855CF4" w14:textId="2CAF4767" w:rsidR="00657965" w:rsidRPr="00657965" w:rsidRDefault="00657965" w:rsidP="003609C5">
      <w:pPr>
        <w:pStyle w:val="p1"/>
        <w:spacing w:line="480" w:lineRule="auto"/>
        <w:rPr>
          <w:b/>
          <w:bCs/>
          <w:sz w:val="24"/>
          <w:szCs w:val="24"/>
        </w:rPr>
      </w:pPr>
      <w:r w:rsidRPr="00657965">
        <w:rPr>
          <w:sz w:val="24"/>
          <w:szCs w:val="24"/>
        </w:rPr>
        <w:t>reverberate “through the courtyards of mosques and university campuses across the country”</w:t>
      </w:r>
    </w:p>
    <w:p w14:paraId="714BB73B"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(Tabatabai, 2). The nation’s prolonged war with Iraq in the eighties further solidified its</w:t>
      </w:r>
    </w:p>
    <w:p w14:paraId="13CB461F" w14:textId="7A6612A8"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undeniable “otherness” to the Arab world. In the decades since, Iran has reached into its</w:t>
      </w:r>
      <w:r w:rsidR="00AA1924">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ethnoreligious singularity as a supplement to its revolutionary state structure. Iran’s clerical and</w:t>
      </w:r>
    </w:p>
    <w:p w14:paraId="784DBF51"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theocratic form of governance is a unique outlier of religious-political hybridization, amidst a sea</w:t>
      </w:r>
    </w:p>
    <w:p w14:paraId="59B18AA3"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of secular democracies. Within its institutions, as well as the broader spectrum of Iranian society,</w:t>
      </w:r>
    </w:p>
    <w:p w14:paraId="0B206935"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interwoven cultural mantras of anti-Zionism and anti-imperialism elicit an identity of</w:t>
      </w:r>
    </w:p>
    <w:p w14:paraId="7570CF7F"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existential struggle against what Tehran sees as pervasive external forces, adding a critical</w:t>
      </w:r>
    </w:p>
    <w:p w14:paraId="03D532A7" w14:textId="77777777" w:rsidR="00657965" w:rsidRPr="00657965" w:rsidRDefault="00657965" w:rsidP="003609C5">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dimension both to Iran’s policymaking and national identity.</w:t>
      </w:r>
    </w:p>
    <w:p w14:paraId="2504D95B" w14:textId="38E6B0B7" w:rsidR="00657965" w:rsidRPr="00657965" w:rsidRDefault="00AA1924"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This fusion of religion, culture, and political influence have helped Iran birth a sort of</w:t>
      </w:r>
    </w:p>
    <w:p w14:paraId="461343B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“theo-politics” in which the eschatology of Shi’ism aligns with that of regional third parties, in</w:t>
      </w:r>
    </w:p>
    <w:p w14:paraId="6C1A6EA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interests of Iranian policy goals. Through ideological messaging and alliance-building with</w:t>
      </w:r>
    </w:p>
    <w:p w14:paraId="4D147B2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non-state actors and militias, Iran frames its support for adjacent Shia groups as a form of</w:t>
      </w:r>
    </w:p>
    <w:p w14:paraId="25C44EC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struggle against perceived tyranny and Western imperialism while simultaneously promoting its</w:t>
      </w:r>
    </w:p>
    <w:p w14:paraId="770EB4B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view of Shia Islam as a counter-narrative to Sunni extremism. By portraying its support as a</w:t>
      </w:r>
    </w:p>
    <w:p w14:paraId="0A38499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defense of Shia rights against Sunni persecution and Salafist radicalism, Iran uses the promotion</w:t>
      </w:r>
    </w:p>
    <w:p w14:paraId="2C6D0A9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of Shia Islam as an ideological framework for cultivating loyalty among Shia populations near</w:t>
      </w:r>
    </w:p>
    <w:p w14:paraId="6E3C14A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Red Sea, “serving as both a unifying force and a mobilization tool” (Hadi, 82). The influence</w:t>
      </w:r>
    </w:p>
    <w:p w14:paraId="11F2182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of these militias on local sentiment, has radically transformed states like Lebanon, Yemen, and</w:t>
      </w:r>
    </w:p>
    <w:p w14:paraId="0F963C6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Iraq into hybrid states forced to consider Iranian determinations as part of their security</w:t>
      </w:r>
    </w:p>
    <w:p w14:paraId="1198354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apparatus (Khaddour, 2024). Iran’s ability to project political and military influence in these</w:t>
      </w:r>
    </w:p>
    <w:p w14:paraId="173FBF6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examples, have contributed to its strategic depth through both a land bridge to the Mediterranean</w:t>
      </w:r>
    </w:p>
    <w:p w14:paraId="039F970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and a willing partnership on the Red Sea, redeeming its status as an outlier. The ultimate goal of</w:t>
      </w:r>
    </w:p>
    <w:p w14:paraId="1C70FC7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proxy strategy through the veneer of cultural parallels is to establish regional domination</w:t>
      </w:r>
    </w:p>
    <w:p w14:paraId="3592722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by integrating representative influence into the political and security structures of host countries.</w:t>
      </w:r>
    </w:p>
    <w:p w14:paraId="4E31B42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This framework acts as a counterculture to what Tehran perceives as the proliferation of liberal</w:t>
      </w:r>
    </w:p>
    <w:p w14:paraId="27BE809C" w14:textId="77777777" w:rsidR="00780D8C"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value systems and the aims of global democracy.</w:t>
      </w:r>
    </w:p>
    <w:p w14:paraId="201EB7FD" w14:textId="3E2B8C9F" w:rsidR="00657965" w:rsidRPr="00657965" w:rsidRDefault="00657965" w:rsidP="00780D8C">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The Iran-Houthi Alliance</w:t>
      </w:r>
    </w:p>
    <w:p w14:paraId="55851E9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Houthis, officially known as Ansar Allah, are a Yemeni political and military</w:t>
      </w:r>
    </w:p>
    <w:p w14:paraId="6EF3F4E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organization that emerged in the 1990s from the Zaydi branch of Shia Islam. Despite its close</w:t>
      </w:r>
    </w:p>
    <w:p w14:paraId="20071E8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ethnic and historical proximity to its Sunni neighbors, the Houthis found an ideological ally in</w:t>
      </w:r>
    </w:p>
    <w:p w14:paraId="4C2B0E5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 and its “Twelver” form of Shi’ism, receiving support from the Iranian regime in its</w:t>
      </w:r>
    </w:p>
    <w:p w14:paraId="2AD2E02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resistance movement against president Alī ʿAbd Allāh Ṣāliḥ in the early 2000’s. After a series of</w:t>
      </w:r>
    </w:p>
    <w:p w14:paraId="76EDEDE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victories over Yemeni government forces, Houthis incorporated loyal military units into their</w:t>
      </w:r>
    </w:p>
    <w:p w14:paraId="60DC23E7" w14:textId="1DF18868"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military infrastructure and took control over a sizable swath of Yemen's national arsenal. In 2015,</w:t>
      </w:r>
      <w:r w:rsidR="00C77A7D">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when a Saudi-led coalition launched a military intervention to secure war-torn Yemen, Iran was</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already smuggling arms to the rebel group in what Tehran saw as a rare opportunity to</w:t>
      </w:r>
    </w:p>
    <w:p w14:paraId="4C1DC769" w14:textId="0C1BAAF0"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antagonize its regional nemesis in Riyadh (Robinson, 2024). While the Yemeni landscape offered</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Tehran the opportunity to exploit territorial tensions, Iran was able to justify its ideological bond</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with its Yemeni counterparts as an existential one. In late 2023, in a show of support for</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Palestinians and an embattled Hamas, the Houthis began launching missile and drone attacks</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against U.S. and Israel-linked targets in the Red Sea. These attacks have subsequently impacted</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international shipping, driving shipping costs exponentially higher (Reed, 2024). Tehran has</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demonstrated its staunch support for the attacks, allegedly assisting the Houthis in targeting</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vessels (Robinson, 2024). With military assistance from Iran, the Houthis have been able to</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sustain an operation of de facto sanctions of Western-based or Israeli-linked commerce in protest</w:t>
      </w:r>
      <w:r w:rsidR="00004072">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of Tel-Aviv’s campaign in Gaza (Dennard, 2024). The Houthis have relied heavily upon</w:t>
      </w:r>
    </w:p>
    <w:p w14:paraId="2D77F30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unmanned technologies that mitigate battlefield risk, making use of the group’s strategic location</w:t>
      </w:r>
    </w:p>
    <w:p w14:paraId="6DB3B60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on the Red Sea.</w:t>
      </w:r>
    </w:p>
    <w:p w14:paraId="225BEE63" w14:textId="1C7967F2" w:rsidR="00657965" w:rsidRPr="00657965" w:rsidRDefault="00004072"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Iran’s decisive alliance with the Houthis exemplifies its inclination to work hand-in-hand</w:t>
      </w:r>
    </w:p>
    <w:p w14:paraId="3BD5016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with Arab counterparts with whom it can leverage its own geopolitical vision of regional</w:t>
      </w:r>
    </w:p>
    <w:p w14:paraId="75A3205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dominance while maintaining a level of plausible deniability. Tehran, though not consistently</w:t>
      </w:r>
    </w:p>
    <w:p w14:paraId="0E1D4AC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aligned with the goals of Arab groups within its immediate axis, is willing to use Arab self-</w:t>
      </w:r>
    </w:p>
    <w:p w14:paraId="14C9A62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determination to its own ends where it aligns with its vision of Greater Iran. Militias and factions</w:t>
      </w:r>
    </w:p>
    <w:p w14:paraId="16F8106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that are culturally Arab act as convenient tentacles of support where Iran’s chaos strategy</w:t>
      </w:r>
    </w:p>
    <w:p w14:paraId="459AA21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coincides with local elements of historicized resistance. Iran’s network-building relies primarily</w:t>
      </w:r>
    </w:p>
    <w:p w14:paraId="58489E8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upon the IRGC and its ability to secure support even beyond cultural or ideological boundaries,</w:t>
      </w:r>
    </w:p>
    <w:p w14:paraId="74F5680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operating within a “multilayered, non-sectarian, and globally-expansive” model (Hadi, 188). For</w:t>
      </w:r>
    </w:p>
    <w:p w14:paraId="05A55C2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 its proxy involvement answers the general lack of participation from neighboring Arab</w:t>
      </w:r>
    </w:p>
    <w:p w14:paraId="33CCAB5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states in what has been coined, “the Axis of Resistance”. This indirect means of demonstrating</w:t>
      </w:r>
    </w:p>
    <w:p w14:paraId="4DD70A4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Tehran’s political and military prowess in Arab and often Sunni-majority states may highlight</w:t>
      </w:r>
    </w:p>
    <w:p w14:paraId="4DB1B9B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further proof of its strategy of resilience against rules-based sanctions. While Iranian proxy</w:t>
      </w:r>
    </w:p>
    <w:p w14:paraId="362F0B6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efforts are not limited to the range of the regional Shia footprint, it utilizes this religious</w:t>
      </w:r>
    </w:p>
    <w:p w14:paraId="45D571C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identification as a core tenet of its reach within West Asia.</w:t>
      </w:r>
    </w:p>
    <w:p w14:paraId="287A5601" w14:textId="77777777" w:rsidR="00657965" w:rsidRPr="00657965" w:rsidRDefault="00657965" w:rsidP="003C6FB1">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Critical Vulnerabilities in the Red Sea</w:t>
      </w:r>
    </w:p>
    <w:p w14:paraId="78422A1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convergence of ideology and geography, has recently taken on a kinetic nature in the</w:t>
      </w:r>
    </w:p>
    <w:p w14:paraId="1D56C53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Red Sea, where a multitude of geopolitical interests have merged. Despite being widely regarded</w:t>
      </w:r>
    </w:p>
    <w:p w14:paraId="24D8ED0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by maritime nations as a route for regional security cooperation in the post-war order, the central</w:t>
      </w:r>
    </w:p>
    <w:p w14:paraId="31091C4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geography of the Red Sea as a transitway between the Mediterranean and Asian ports presents a</w:t>
      </w:r>
    </w:p>
    <w:p w14:paraId="458E8C4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serious risk to international commerce and security organizations. On December 9, 2023, a</w:t>
      </w:r>
    </w:p>
    <w:p w14:paraId="08A7B03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French navy frigate, Languedoc, intercepted two Houthi drones using Aster-15 surface-to-air</w:t>
      </w:r>
    </w:p>
    <w:p w14:paraId="242031E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missiles leading some to question the efficiency of using million-dollar ordnance to protect</w:t>
      </w:r>
    </w:p>
    <w:p w14:paraId="02284C4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against drones with an estimated production value of around $20,000 USD (Ruitenberg, 2024).</w:t>
      </w:r>
    </w:p>
    <w:p w14:paraId="5F03314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More recently, in August of 2024, as a response to Houthi missile and drone attacks, the USS</w:t>
      </w:r>
    </w:p>
    <w:p w14:paraId="188784A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i/>
          <w:iCs/>
          <w:color w:val="000000"/>
          <w:kern w:val="0"/>
          <w14:ligatures w14:val="none"/>
        </w:rPr>
        <w:t>Abraham Lincoln</w:t>
      </w:r>
      <w:r w:rsidRPr="00657965">
        <w:rPr>
          <w:rFonts w:ascii="Times New Roman" w:eastAsia="Times New Roman" w:hAnsi="Times New Roman" w:cs="Times New Roman"/>
          <w:color w:val="000000"/>
          <w:kern w:val="0"/>
          <w14:ligatures w14:val="none"/>
        </w:rPr>
        <w:t xml:space="preserve"> was rerouted to the vicinity of the Red Sea from the Western Pacific as a part</w:t>
      </w:r>
    </w:p>
    <w:p w14:paraId="21F9138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of its Asia-Pacific security protocol which readily monitors Chinese naval movements. While</w:t>
      </w:r>
    </w:p>
    <w:p w14:paraId="6B6EC42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this move seems to demonstrate the overall flexibility of American expeditionary projection, it is</w:t>
      </w:r>
    </w:p>
    <w:p w14:paraId="419DA028" w14:textId="03AFB02D"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4difficult to dismiss the cost of such a prolonged and complex security operation against low-level</w:t>
      </w:r>
      <w:r w:rsidR="003C6FB1">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perpetrators, and this begs critical analysis of battlespace sovereignty and sustainment in the new</w:t>
      </w:r>
      <w:r w:rsidR="003C6FB1">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century. In the modern battlespace, where asymmetric tactics are employed to counter</w:t>
      </w:r>
    </w:p>
    <w:p w14:paraId="5715F5A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conventional forces supported by larger, robust economies, the use of expensive platforms to</w:t>
      </w:r>
    </w:p>
    <w:p w14:paraId="007EAAD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counteract crude technologies “encapsulates a broader strategic and economic conundrum”</w:t>
      </w:r>
    </w:p>
    <w:p w14:paraId="166CCE6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wherein complex naval mobilization is brought to bear against highly-adaptable surrogate actors</w:t>
      </w:r>
    </w:p>
    <w:p w14:paraId="6737062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(Ruitenberg, 2024). During the Lincoln’s three-month deployment in the region, Houthi attacks</w:t>
      </w:r>
    </w:p>
    <w:p w14:paraId="44F40F7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 xml:space="preserve">continued unabated in the carrier’s vicinity as the Panama-flagged </w:t>
      </w:r>
      <w:r w:rsidRPr="00657965">
        <w:rPr>
          <w:rFonts w:ascii="Times New Roman" w:eastAsia="Times New Roman" w:hAnsi="Times New Roman" w:cs="Times New Roman"/>
          <w:i/>
          <w:iCs/>
          <w:color w:val="000000"/>
          <w:kern w:val="0"/>
          <w14:ligatures w14:val="none"/>
        </w:rPr>
        <w:t>Cordelia Moon</w:t>
      </w:r>
      <w:r w:rsidRPr="00657965">
        <w:rPr>
          <w:rFonts w:ascii="Times New Roman" w:eastAsia="Times New Roman" w:hAnsi="Times New Roman" w:cs="Times New Roman"/>
          <w:color w:val="000000"/>
          <w:kern w:val="0"/>
          <w14:ligatures w14:val="none"/>
        </w:rPr>
        <w:t xml:space="preserve"> was attacked</w:t>
      </w:r>
    </w:p>
    <w:p w14:paraId="62027C8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on October 1st by a complex barrage of missiles, drones, and uncrewed surface vessels 64 miles</w:t>
      </w:r>
    </w:p>
    <w:p w14:paraId="146F621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northwest of the port of Hodeidah.</w:t>
      </w:r>
    </w:p>
    <w:p w14:paraId="1013D90A" w14:textId="77777777" w:rsidR="00657965" w:rsidRPr="00657965" w:rsidRDefault="00657965" w:rsidP="003C6FB1">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The Rise of Drone Technology in the Red Sea Region</w:t>
      </w:r>
    </w:p>
    <w:p w14:paraId="647A1AB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increased use of drone warfare provides operators with plausible deniability, low-</w:t>
      </w:r>
    </w:p>
    <w:p w14:paraId="3B5ECBC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cost operation, and increased lethal mobility compared with conventional engagement methods.</w:t>
      </w:r>
    </w:p>
    <w:p w14:paraId="3EBC2BB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While the Houthis have relied heavily upon medium-range surface-to-surface and anti-ship</w:t>
      </w:r>
    </w:p>
    <w:p w14:paraId="53E6F66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platforms, the popular use of lethal drones has provided the group a cost-effective alternative.</w:t>
      </w:r>
    </w:p>
    <w:p w14:paraId="5E88D51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These platforms include both unmanned aerial systems (UAS) as well as unmanned underwater</w:t>
      </w:r>
    </w:p>
    <w:p w14:paraId="4262D7B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vehicles (UUV). Drone attacks in the Red Sea are often combined with missile attacks in order to</w:t>
      </w:r>
    </w:p>
    <w:p w14:paraId="64FAB94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inflict catastrophic damage and render vessels inoperable. Iran’s Shahed Aviation Industries</w:t>
      </w:r>
    </w:p>
    <w:p w14:paraId="01A300A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produces the Shahed-131, which can deliver an explosive 33lb. warhead over 550 miles to an</w:t>
      </w:r>
    </w:p>
    <w:p w14:paraId="655C1BE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unsuspecting target. The Shahed-136, carrying a larger, 110lb warhead, is suspected in the</w:t>
      </w:r>
    </w:p>
    <w:p w14:paraId="19A7004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 xml:space="preserve">November 24 attack on the bulk carrier </w:t>
      </w:r>
      <w:r w:rsidRPr="00657965">
        <w:rPr>
          <w:rFonts w:ascii="Times New Roman" w:eastAsia="Times New Roman" w:hAnsi="Times New Roman" w:cs="Times New Roman"/>
          <w:i/>
          <w:iCs/>
          <w:color w:val="000000"/>
          <w:kern w:val="0"/>
          <w14:ligatures w14:val="none"/>
        </w:rPr>
        <w:t>Symi</w:t>
      </w:r>
      <w:r w:rsidRPr="00657965">
        <w:rPr>
          <w:rFonts w:ascii="Times New Roman" w:eastAsia="Times New Roman" w:hAnsi="Times New Roman" w:cs="Times New Roman"/>
          <w:color w:val="000000"/>
          <w:kern w:val="0"/>
          <w14:ligatures w14:val="none"/>
        </w:rPr>
        <w:t xml:space="preserve"> in 2023, boasting an operational range of 1,660</w:t>
      </w:r>
    </w:p>
    <w:p w14:paraId="36C1774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miles.</w:t>
      </w:r>
      <w:r w:rsidRPr="00657965">
        <w:rPr>
          <w:rFonts w:ascii="Times New Roman" w:eastAsia="Times New Roman" w:hAnsi="Times New Roman" w:cs="Times New Roman"/>
          <w:b/>
          <w:bCs/>
          <w:color w:val="000000"/>
          <w:kern w:val="0"/>
          <w14:ligatures w14:val="none"/>
        </w:rPr>
        <w:t xml:space="preserve"> </w:t>
      </w:r>
      <w:r w:rsidRPr="00657965">
        <w:rPr>
          <w:rFonts w:ascii="Times New Roman" w:eastAsia="Times New Roman" w:hAnsi="Times New Roman" w:cs="Times New Roman"/>
          <w:color w:val="000000"/>
          <w:kern w:val="0"/>
          <w14:ligatures w14:val="none"/>
        </w:rPr>
        <w:t>The Houthis, with Iranian technical assistance, have also shown that they possess the</w:t>
      </w:r>
    </w:p>
    <w:p w14:paraId="370AE64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ability to reverse engineer drone systems from adversary nations, most notably in their</w:t>
      </w:r>
    </w:p>
    <w:p w14:paraId="3831A7D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production of its Shahed stealth series reconnaissance and combat drones, a derivative of the</w:t>
      </w:r>
    </w:p>
    <w:p w14:paraId="640169E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American RQ-170 Sentinel. In addition to these, the Houthi arsenal includes the Yaffa, that</w:t>
      </w:r>
    </w:p>
    <w:p w14:paraId="2547B71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struck outside the U.S. embassy in Tel Aviv on July 19, 2024, which the Yemeni rebels claim, is</w:t>
      </w:r>
    </w:p>
    <w:p w14:paraId="4B483C8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undetectable by early warning countermeasures. Drone platforms provide a much more flexible</w:t>
      </w:r>
    </w:p>
    <w:p w14:paraId="2D47105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and maneuverable option than traditional missile systems on the basis that they can be deployed</w:t>
      </w:r>
    </w:p>
    <w:p w14:paraId="1A499DE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with greater accuracy and higher effects on target while being flexible enough to be smuggled</w:t>
      </w:r>
    </w:p>
    <w:p w14:paraId="153BCD1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into the arsenals of regional end-users (Lob, 2023). Iran’s drone proliferation accompanies proxy</w:t>
      </w:r>
    </w:p>
    <w:p w14:paraId="3238805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membership, analogous perhaps to the American supply of Stinger systems to mujahideen</w:t>
      </w:r>
    </w:p>
    <w:p w14:paraId="3CA15DC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fighters combating Soviet intrusion in 1980’s Afghanistan.</w:t>
      </w:r>
    </w:p>
    <w:p w14:paraId="15978E03" w14:textId="679E82BD" w:rsidR="00657965" w:rsidRPr="00657965" w:rsidRDefault="00B85BCC"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Iran’s heavy reliance on drone warfare signifies its willingness to resort to high-</w:t>
      </w:r>
    </w:p>
    <w:p w14:paraId="722FC01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impact/low-risk operability while conserving its conventional capabilities. The growing use of</w:t>
      </w:r>
    </w:p>
    <w:p w14:paraId="2CE8F24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unmanned platforms by non-state actors, especially the Iranian-backed Houthi rebels, has</w:t>
      </w:r>
    </w:p>
    <w:p w14:paraId="7FA318A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produced major ramifications for marine traffic in the Red Sea area with key international trade</w:t>
      </w:r>
    </w:p>
    <w:p w14:paraId="26998C50" w14:textId="21EAB7D6"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routes being threatened by this development. For Tehran, the strategic use of drone attacks</w:t>
      </w:r>
      <w:r w:rsidR="00EA6E85">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through proxy forces reflects a multi-layered surrogacy in which the proxy element is also able</w:t>
      </w:r>
    </w:p>
    <w:p w14:paraId="6BA89C0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to avoid direct confrontation. Through its strategic alliance with the Houthis, Iran displays its</w:t>
      </w:r>
    </w:p>
    <w:p w14:paraId="3E77610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capacity to use the Red Sea as a geographic nexus for confrontation with its adversaries while 1)</w:t>
      </w:r>
    </w:p>
    <w:p w14:paraId="04D266A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keeping its own conventional resources at a distance and 2) creating a set of kinetic</w:t>
      </w:r>
    </w:p>
    <w:p w14:paraId="16B9842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circumstances that the United States in particular (as the leader of the rules-based system) must</w:t>
      </w:r>
    </w:p>
    <w:p w14:paraId="660F20A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consistently respond to. These low-level operations challenge the efficiency of drawing</w:t>
      </w:r>
    </w:p>
    <w:p w14:paraId="6D63D29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multimillion dollar vessels, thousands of miles from their home port to respond to drone</w:t>
      </w:r>
    </w:p>
    <w:p w14:paraId="2993191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incidents conducted by perpetrators with no readily identifiable center of gravity. The strategic</w:t>
      </w:r>
    </w:p>
    <w:p w14:paraId="0B3560C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geography of the Red Sea combined with separatist Shia actors with unconventional, regional-</w:t>
      </w:r>
    </w:p>
    <w:p w14:paraId="19CF076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ranged capabilities allows Iran a dynamic maritime battlespace that shields its immediate</w:t>
      </w:r>
    </w:p>
    <w:p w14:paraId="365B514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territorial infrastructure from conventional Western responses. These tactics work to limit the</w:t>
      </w:r>
    </w:p>
    <w:p w14:paraId="684A1BB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options of a conventional force and diminish the credibility of the United States and its allies on</w:t>
      </w:r>
    </w:p>
    <w:p w14:paraId="7E15E5D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the international stage.</w:t>
      </w:r>
    </w:p>
    <w:p w14:paraId="291E4E75" w14:textId="77777777" w:rsidR="00657965" w:rsidRPr="00657965" w:rsidRDefault="00657965" w:rsidP="003072BC">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Implications for Regional Stability</w:t>
      </w:r>
    </w:p>
    <w:p w14:paraId="0AB4959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Since October 2023, sporadic drone attacks have transformed the Red Sea into an</w:t>
      </w:r>
    </w:p>
    <w:p w14:paraId="4CDB15A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unpredictable environment, one that has frustrated commercial operations while creating a series</w:t>
      </w:r>
    </w:p>
    <w:p w14:paraId="0BDA54B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of new, unconventional circumstances for the global security apparatus. From November 2023 to</w:t>
      </w:r>
    </w:p>
    <w:p w14:paraId="51F0373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January 2024, Houthi attacks significantly impacted commercial vessels in the Red Sea, with</w:t>
      </w:r>
    </w:p>
    <w:p w14:paraId="4BCA042B" w14:textId="0BFB7ACD"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twenty-five separate attacks since November 18th, leading to a significant surge in shipping costs.</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Container freight rates from China to Europe have increased by 248% from $1,148 to $4,000</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with rates also rising 140% from $1,667 on December 23 to $4,000 (Rahman, 2024). With two</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access points —the Suez Canal in the north and the Bab al-Mandab Strait in the south—the Red</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Sea is one of the most significant interoceanic commerce routes in the world. A yearly average of</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8.8 million barrels of oil exports crosses the Bab al-Mandab strait per day, according to the US</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Energy Information Administration (Dunn, 2023). This amounts to 8.7% of the 101.7 million</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barrels per day worldwide demand in December 2023 (IEA, 2023). Approximately 12–15% of</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the world's goods commerce and roughly one-third of its container traffic typically travel via the</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Suez Canal (UNCTAD, 2024). The extent of the economic impact caused by these disruptive</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incidents include delays in shipments, supply chain disruptions, increased energy costs, and</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potential global inflation concerns. Oil and gas exports, automotive, and general consumer goods</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remain among the major industries affected. Houthi militants have primarily attacked ships near</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the Bab el-Mandeb strait, which has disrupted operations and forced major shipping companies</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to navigate alternative routes around the Cape of Good Hope, causing travel times to increase by</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10-14 days. This detour adds over six-thousand miles of travel, producing exorbitant costs for</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 xml:space="preserve">merchant vessels to operate. Additional costs include </w:t>
      </w:r>
      <w:r w:rsidRPr="00657965">
        <w:rPr>
          <w:rFonts w:ascii="Times New Roman" w:eastAsia="Times New Roman" w:hAnsi="Times New Roman" w:cs="Times New Roman"/>
          <w:color w:val="000000"/>
          <w:kern w:val="0"/>
          <w14:ligatures w14:val="none"/>
        </w:rPr>
        <w:lastRenderedPageBreak/>
        <w:t>increased fuel expenses, higher war risk</w:t>
      </w:r>
      <w:r w:rsidR="00B05B4C">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insurance premiums, and surcharges imposed by shipping companies.</w:t>
      </w:r>
    </w:p>
    <w:p w14:paraId="200ECE73" w14:textId="6E2CD30A" w:rsidR="00657965" w:rsidRPr="00657965" w:rsidRDefault="009C0675"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From the beginning of the current Houthi campaign, the frequency and severity of strikes</w:t>
      </w:r>
    </w:p>
    <w:p w14:paraId="7312C9A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 the Red Sea have fluctuated. The following entries categorize the assaults by season:</w:t>
      </w:r>
    </w:p>
    <w:p w14:paraId="32CFB8A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i/>
          <w:iCs/>
          <w:color w:val="000000"/>
          <w:kern w:val="0"/>
          <w14:ligatures w14:val="none"/>
        </w:rPr>
        <w:t>October to December of 2023</w:t>
      </w:r>
    </w:p>
    <w:p w14:paraId="65EBD18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Attacks began on October 19, 2023, when Israel was targeted by armed drones and</w:t>
      </w:r>
    </w:p>
    <w:p w14:paraId="22D239B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missiles.</w:t>
      </w:r>
    </w:p>
    <w:p w14:paraId="75FC8C6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Attacks became more intense by December:</w:t>
      </w:r>
    </w:p>
    <w:p w14:paraId="74A409D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December 11: Norwegian tanker M/T Strinda5 was damaged by an anti-ship cruise</w:t>
      </w:r>
    </w:p>
    <w:p w14:paraId="541B3C1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missile.</w:t>
      </w:r>
    </w:p>
    <w:p w14:paraId="33DC882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December 15: Two tankers under the flag of Liberia, M/V Al Jasra and M/V Palatium III,</w:t>
      </w:r>
    </w:p>
    <w:p w14:paraId="2E61406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were struck.</w:t>
      </w:r>
    </w:p>
    <w:p w14:paraId="63F0744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December 16: The USS Carney intercepted 14 drones in a single wave attack.</w:t>
      </w:r>
    </w:p>
    <w:p w14:paraId="1AA99ED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By the end of 2023, more than 100 drone incidents had been documented.</w:t>
      </w:r>
    </w:p>
    <w:p w14:paraId="78403A4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January–February of early 2024 saw an uptick in the frequency of attacks:</w:t>
      </w:r>
    </w:p>
    <w:p w14:paraId="5309C11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January 2: Vessels in the southern portion of the Red Sea were hit by two ballistic</w:t>
      </w:r>
    </w:p>
    <w:p w14:paraId="38425C4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missiles.</w:t>
      </w:r>
    </w:p>
    <w:p w14:paraId="64DA514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January 27: The British destroyer HMS Diamond shot down a single drone.</w:t>
      </w:r>
    </w:p>
    <w:p w14:paraId="266DE47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February 6: Multiple vessels were targeted by six anti-ship ballistic missiles.</w:t>
      </w:r>
    </w:p>
    <w:p w14:paraId="60E1AB5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sym w:font="Symbol" w:char="F0B7"/>
      </w:r>
      <w:r w:rsidRPr="00657965">
        <w:rPr>
          <w:rFonts w:ascii="Times New Roman" w:eastAsia="Times New Roman" w:hAnsi="Times New Roman" w:cs="Times New Roman"/>
          <w:color w:val="000000"/>
          <w:kern w:val="0"/>
          <w14:ligatures w14:val="none"/>
        </w:rPr>
        <w:t xml:space="preserve"> By mid-February, attacks began to include unmanned surface vehicles (USVs)</w:t>
      </w:r>
    </w:p>
    <w:p w14:paraId="4C776F8A" w14:textId="184CFF12"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Over 60 vessels were targeted by the Houthis in the Red Sea between October 2023 and March</w:t>
      </w:r>
    </w:p>
    <w:p w14:paraId="1CFEE4C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2024. Between March and June of 2024 there were sixteen verified assaults, giving June the</w:t>
      </w:r>
    </w:p>
    <w:p w14:paraId="799BE32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highest rate of incident for 2024. In general, drone attacks became more frequent and</w:t>
      </w:r>
    </w:p>
    <w:p w14:paraId="6C677F0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sophisticated over time with a total of 130 strikes from October 2023 to September 2024. The</w:t>
      </w:r>
    </w:p>
    <w:p w14:paraId="5982150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frequency of the attacks from October 2023 to October 2024 fails to follow any particular</w:t>
      </w:r>
    </w:p>
    <w:p w14:paraId="6E6D786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seasonal indicators but seem to correlate with targets of opportunity. The consistent and</w:t>
      </w:r>
    </w:p>
    <w:p w14:paraId="78B0A62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unprovoked nature of these attacks suggests a continuing trend as long as the underlying regional</w:t>
      </w:r>
    </w:p>
    <w:p w14:paraId="2BE278B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conflict endures.</w:t>
      </w:r>
    </w:p>
    <w:p w14:paraId="2A3CC80A" w14:textId="5CE2057E" w:rsidR="00657965" w:rsidRPr="00657965" w:rsidRDefault="009C0675"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The Red Sea extends a crucial flashpoint for Iranian involvement due to it being a critical</w:t>
      </w:r>
    </w:p>
    <w:p w14:paraId="78D2E1C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maritime route for global commerce and oil shipments and intersects the strategic positioning of</w:t>
      </w:r>
    </w:p>
    <w:p w14:paraId="4D2C675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Shia allies in Yemen (Levy, 2023). Influence over Red Sea traffic allows Tehran to</w:t>
      </w:r>
    </w:p>
    <w:p w14:paraId="3B85123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simultaneously challenge American freedom of movement and contest Saudi resolve as a hostile</w:t>
      </w:r>
    </w:p>
    <w:p w14:paraId="7B18251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ideological pole within its area of operations. Using its network of non-state allies in a</w:t>
      </w:r>
    </w:p>
    <w:p w14:paraId="6852BE4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politically-fractured state such like Yemen, Iran is able to shape the Red Sea as an area of critical</w:t>
      </w:r>
    </w:p>
    <w:p w14:paraId="495AF0E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engagement through its support of the Houthi movement. Iran’s proxy use of the Houthis in this</w:t>
      </w:r>
    </w:p>
    <w:p w14:paraId="40D7B2F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heavily-trafficked shipping lane reflects its broader goals to project influence and defend its</w:t>
      </w:r>
    </w:p>
    <w:p w14:paraId="2DF995A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interests against alleged threats from the United States and its regional partners. The growing</w:t>
      </w:r>
    </w:p>
    <w:p w14:paraId="5AEF256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7security crisis in the Red Sea demonstrates the ability of Iran’s allies to draw western and</w:t>
      </w:r>
    </w:p>
    <w:p w14:paraId="237A8BF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coalition assets into an area that already faces competing interests and active regional conflicts,</w:t>
      </w:r>
    </w:p>
    <w:p w14:paraId="2F57D79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resulting in a fragmented security landscape with increased volatility. Some policymakers have</w:t>
      </w:r>
    </w:p>
    <w:p w14:paraId="57F5E44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begun to question the sustainability of the western coalition response to Houthi antagonism,</w:t>
      </w:r>
    </w:p>
    <w:p w14:paraId="0F42D19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arguing that engaging the Houthis in this manner places navies within its cooperative alliance at</w:t>
      </w:r>
    </w:p>
    <w:p w14:paraId="116F028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 disadvantage by failing to be proactive, reacting instead to the Houthi’s timeline while</w:t>
      </w:r>
    </w:p>
    <w:p w14:paraId="6AC157E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exhausting expensive armaments at sea (Seligman, 2023). This “flea-itch, dog-scratch” response</w:t>
      </w:r>
    </w:p>
    <w:p w14:paraId="1656F93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adds to an environment of instability, notably through the use of expendable drone weaponry</w:t>
      </w:r>
    </w:p>
    <w:p w14:paraId="21A4605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which may represent a new challenge for modern navies that must be resupplied with defensive</w:t>
      </w:r>
    </w:p>
    <w:p w14:paraId="3A10D8E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munitions in friendly ports (Pedrozo, 66). Furthermore, the attacks on shipping vessels have</w:t>
      </w:r>
    </w:p>
    <w:p w14:paraId="335CD91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permitted Iran a testing ground for its military technologies. Iran's destabilization operations</w:t>
      </w:r>
    </w:p>
    <w:p w14:paraId="0C01781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through its Houthi counterparts have shown potential capability gaps in multilateral security</w:t>
      </w:r>
    </w:p>
    <w:p w14:paraId="2F69B6D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arrangements and just how rapidly areas of global economic dependency can be derailed.</w:t>
      </w:r>
    </w:p>
    <w:p w14:paraId="0597584E" w14:textId="77777777" w:rsidR="00657965" w:rsidRPr="00657965" w:rsidRDefault="00657965" w:rsidP="003E05A0">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Response to War on Terror – Regional Catalyst</w:t>
      </w:r>
    </w:p>
    <w:p w14:paraId="1A235CC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After the Iran-Iraq war, which saw Iran’s national sovereignty compromised by hostile</w:t>
      </w:r>
    </w:p>
    <w:p w14:paraId="59AB6A8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forces, Tehran implemented a buffer strategy that involved projecting its power outward through</w:t>
      </w:r>
    </w:p>
    <w:p w14:paraId="202393C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non-state entities (Hadi, 3). Having suffered catastrophic battlefield losses in its nearly eight-year</w:t>
      </w:r>
    </w:p>
    <w:p w14:paraId="0FE8994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war with Iraq, Iran began constructing a network of third-party actors that could effectively</w:t>
      </w:r>
    </w:p>
    <w:p w14:paraId="694DE34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insulate the nation’s geographic boundaries from direct reprisal while acting as pre-positioned,</w:t>
      </w:r>
    </w:p>
    <w:p w14:paraId="6C161A5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forward-deployed elements. This project grew into doctrine through the work of the Islamic</w:t>
      </w:r>
    </w:p>
    <w:p w14:paraId="26FDC19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Revolutionary Guard Corps’ Quds Force, whose use of soft tactics and indirect confrontation,</w:t>
      </w:r>
    </w:p>
    <w:p w14:paraId="6FF7AD7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allowed Tehran to solidify itself in the MENA region as a quagmire to rules-based adversary</w:t>
      </w:r>
    </w:p>
    <w:p w14:paraId="0BC6AD9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nations that follow more conventional forms of battlespace doctrine. Iran has worked to expand</w:t>
      </w:r>
    </w:p>
    <w:p w14:paraId="5FFF0B6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its influence in Iraq, Syria, Lebanon, and Bahrain, among others, by supporting Shia</w:t>
      </w:r>
    </w:p>
    <w:p w14:paraId="5665E83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communities and movements in primarily Sunni nations, facilitating a strategy of rapid response</w:t>
      </w:r>
    </w:p>
    <w:p w14:paraId="1E8AE98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across West Asia. The goal of this sectarian strategy is to establish a "Shia Crescent" that links</w:t>
      </w:r>
    </w:p>
    <w:p w14:paraId="522E1F4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 with its regional supporters.</w:t>
      </w:r>
    </w:p>
    <w:p w14:paraId="4E7215CC" w14:textId="0A0A7A5B" w:rsidR="00657965" w:rsidRPr="00657965" w:rsidRDefault="003E05A0"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There is emerging evidence that the U.S. campaigns in Iraq and Afghanistan accelerated</w:t>
      </w:r>
    </w:p>
    <w:p w14:paraId="09BAFF6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Tehran’s geopolitical anxieties into the reactive stratagem that we see today. Both conflicts</w:t>
      </w:r>
    </w:p>
    <w:p w14:paraId="65E44F5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served as a buffer by which to exhaust American resolve – in Iraq specifically, through the</w:t>
      </w:r>
    </w:p>
    <w:p w14:paraId="6F124A96" w14:textId="15A4C23F"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equipping and political maneuvering of Shia militias (Rogers, 2016). The presence of the western</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 xml:space="preserve">coalition not only propelled Iran’s regional protocols into overdrive but allowed Iran to </w:t>
      </w:r>
      <w:r w:rsidRPr="00657965">
        <w:rPr>
          <w:rFonts w:ascii="Times New Roman" w:eastAsia="Times New Roman" w:hAnsi="Times New Roman" w:cs="Times New Roman"/>
          <w:color w:val="000000"/>
          <w:kern w:val="0"/>
          <w14:ligatures w14:val="none"/>
        </w:rPr>
        <w:lastRenderedPageBreak/>
        <w:t>gather in-theater information on American counterinsurgency strategies. In a bid to exploit the turmoil to</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its west, Iran began actively supplying Kurdish separatists in Northern Iraq with weapons while</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simultaneously providing training and arms to Shia militias throughout the country (Crist, 86).</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During the U.S. campaigns in Iraq and Afghanistan, the proximity of American military power</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also offered Tehran a kinetic and ideological advantage (Herd, 2006). What was locally</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perceived as American military adventurism evolved into a propaganda tool for the Iranian</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regime to further propagate the narrative of American imperialism as an imminent threat</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(Rogers, 2016). The power vacuum created by both the removal of Sadaam Hussein’s Ba’athism</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in Iraq and the toppling of the American-backed Afghan government represent a variety of</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renewed opportunities “for Iran to engage in Central Asia, to counter its isolation by the West</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and expand trade routes to bypass sanctions” (Ziegler, 2024). As a result of these shifting</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geopolitical influences, Iran has become reenergized in its attempt to establish an</w:t>
      </w:r>
    </w:p>
    <w:p w14:paraId="2BC45DE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influential network of regional alliances, projecting itself into the Red Sea region by cultivating</w:t>
      </w:r>
    </w:p>
    <w:p w14:paraId="2752E85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partnerships with Shia groups and governments (such as those in Iraq and Lebanon). This</w:t>
      </w:r>
    </w:p>
    <w:p w14:paraId="32A83CC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weaponization of Shi'ism works to counteract Saudi Arabia and other Sunni-dominated</w:t>
      </w:r>
    </w:p>
    <w:p w14:paraId="7B2F883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alliances.</w:t>
      </w:r>
    </w:p>
    <w:p w14:paraId="6989601F" w14:textId="6CBCACD2" w:rsidR="00657965" w:rsidRPr="00657965" w:rsidRDefault="003E05A0"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While it is undeniable that the Houthis developed as their own ideological movement</w:t>
      </w:r>
    </w:p>
    <w:p w14:paraId="563983A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outside of Tehran’s revolutionary influence, both originate from and identify with revolutionary</w:t>
      </w:r>
    </w:p>
    <w:p w14:paraId="777CFB0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origins, ethnically-unique interpretations of Islam, and a common mission against foreign</w:t>
      </w:r>
    </w:p>
    <w:p w14:paraId="10B644E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aggression. Other Shia populations throughout West Asia represent a figurative ideological</w:t>
      </w:r>
    </w:p>
    <w:p w14:paraId="1D4BD4DE" w14:textId="30C7526C"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“diaspora”, often deferring to Iran's supreme leader for political guidance. Four decades beyond</w:t>
      </w:r>
    </w:p>
    <w:p w14:paraId="01320C5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its own national revolution, Tehran has been able to weaponize Shia religiosity to position itself</w:t>
      </w:r>
    </w:p>
    <w:p w14:paraId="780F0D5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as an operable political mechanism within the populations of adjacent geographic boundaries.</w:t>
      </w:r>
    </w:p>
    <w:p w14:paraId="74807A6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For instance, the U.S. difficulty in forging alliances between various Shia groups during its Iraq</w:t>
      </w:r>
    </w:p>
    <w:p w14:paraId="7FE3DF7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campaign allowed Iran to exploit this fragmented climate to an ideological advantage. The War</w:t>
      </w:r>
    </w:p>
    <w:p w14:paraId="640188D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on Terror and the proximity of American forces to its borders, not only challenged Iran’s</w:t>
      </w:r>
    </w:p>
    <w:p w14:paraId="29EA7BA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influence as a predominant pole in the region but inadvertently necessitated an acceleration of</w:t>
      </w:r>
    </w:p>
    <w:p w14:paraId="2396018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proxy strategy into a new, expansive phase.</w:t>
      </w:r>
    </w:p>
    <w:p w14:paraId="4CC514F8" w14:textId="77777777" w:rsidR="00657965" w:rsidRPr="00657965" w:rsidRDefault="00657965" w:rsidP="003E05A0">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Non-linear strategy as survival</w:t>
      </w:r>
    </w:p>
    <w:p w14:paraId="3FC25D2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 2018, Qassem Soleimani, then head of the IRGC’s Quds force, proclaimed the Red</w:t>
      </w:r>
    </w:p>
    <w:p w14:paraId="1E7BE8E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Sea to be “no longer safe, because of the presence of IRGC Navy and elite Quds Force” (Iran</w:t>
      </w:r>
    </w:p>
    <w:p w14:paraId="12A2899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Press, 2018). This declaration seems to have predicted the current security crisis in the region as</w:t>
      </w:r>
    </w:p>
    <w:p w14:paraId="008504A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Quds Force continues to maneuver a range of asymmetric assets in order to create an</w:t>
      </w:r>
    </w:p>
    <w:p w14:paraId="0A10474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atmosphere of chaos in one of the world’s most trafficked shipping lanes. It was also discovered</w:t>
      </w:r>
    </w:p>
    <w:p w14:paraId="2D8A07C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that since 2016, Iran had begun to employ converted cargo ships as intelligence-gathering assets</w:t>
      </w:r>
    </w:p>
    <w:p w14:paraId="2359B5C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 xml:space="preserve">in the Red Sea. The </w:t>
      </w:r>
      <w:r w:rsidRPr="00657965">
        <w:rPr>
          <w:rFonts w:ascii="Times New Roman" w:eastAsia="Times New Roman" w:hAnsi="Times New Roman" w:cs="Times New Roman"/>
          <w:i/>
          <w:iCs/>
          <w:color w:val="000000"/>
          <w:kern w:val="0"/>
          <w14:ligatures w14:val="none"/>
        </w:rPr>
        <w:t>Saviz</w:t>
      </w:r>
      <w:r w:rsidRPr="00657965">
        <w:rPr>
          <w:rFonts w:ascii="Times New Roman" w:eastAsia="Times New Roman" w:hAnsi="Times New Roman" w:cs="Times New Roman"/>
          <w:color w:val="000000"/>
          <w:kern w:val="0"/>
          <w14:ligatures w14:val="none"/>
        </w:rPr>
        <w:t xml:space="preserve"> operated uncontested for nearly five years until an Israeli strike in</w:t>
      </w:r>
    </w:p>
    <w:p w14:paraId="43A03A6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 xml:space="preserve">2021 damaged the ship’s capabilities, only to be replaced by an identical vessel, the </w:t>
      </w:r>
      <w:r w:rsidRPr="00657965">
        <w:rPr>
          <w:rFonts w:ascii="Times New Roman" w:eastAsia="Times New Roman" w:hAnsi="Times New Roman" w:cs="Times New Roman"/>
          <w:i/>
          <w:iCs/>
          <w:color w:val="000000"/>
          <w:kern w:val="0"/>
          <w14:ligatures w14:val="none"/>
        </w:rPr>
        <w:t>Behshdad</w:t>
      </w:r>
      <w:r w:rsidRPr="00657965">
        <w:rPr>
          <w:rFonts w:ascii="Times New Roman" w:eastAsia="Times New Roman" w:hAnsi="Times New Roman" w:cs="Times New Roman"/>
          <w:color w:val="000000"/>
          <w:kern w:val="0"/>
          <w14:ligatures w14:val="none"/>
        </w:rPr>
        <w:t>, a</w:t>
      </w:r>
    </w:p>
    <w:p w14:paraId="74ED30B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short time after. The extent of Iran’s maritime operations through clandestine methods</w:t>
      </w:r>
    </w:p>
    <w:p w14:paraId="4A737E1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demonstrates the IRGC’s adaptability in contested spaces. This persistence echoes the regime’s</w:t>
      </w:r>
    </w:p>
    <w:p w14:paraId="4BB8A0C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doctrine of resilience through chaos and ultimately supports Iran’s primary strategic objective of</w:t>
      </w:r>
    </w:p>
    <w:p w14:paraId="04FBDDA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regime survival (Bahgat, 2021).</w:t>
      </w:r>
    </w:p>
    <w:p w14:paraId="4D7281AB" w14:textId="64E19E3F" w:rsidR="00657965" w:rsidRPr="00657965" w:rsidRDefault="003E05A0"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As a byproduct of its revolutionary state origins, Iran seems compelled to export chaos</w:t>
      </w:r>
    </w:p>
    <w:p w14:paraId="3CE5539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internationally, giving its regime legitimacy and perhaps a domestic perception of existential</w:t>
      </w:r>
    </w:p>
    <w:p w14:paraId="44C492D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struggle. Since its inception in 1979, this strategy has been put into practice as a counterbalance</w:t>
      </w:r>
    </w:p>
    <w:p w14:paraId="4442D4F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to rules-based structures, bolstering its mostly isolated economy from sanctions. The optics of</w:t>
      </w:r>
    </w:p>
    <w:p w14:paraId="52F0054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confronting a vast, expeditionary power like the United States, portrays the mission of the</w:t>
      </w:r>
    </w:p>
    <w:p w14:paraId="5D076BE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Iranian regime as a credible necessity within its domestic perception, further cementing its Shia</w:t>
      </w:r>
    </w:p>
    <w:p w14:paraId="00C45BF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fundamentalism as a righteous cause. Tehran’s support of the Polisario Front separatist group in</w:t>
      </w:r>
    </w:p>
    <w:p w14:paraId="08089F5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Western Sahara (Cook, 2023), exemplifies a persistent effort to partner with oppressed third</w:t>
      </w:r>
    </w:p>
    <w:p w14:paraId="4DD4D40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parties that 1) are engaged with Tehran’s own adversaries, 2) have their own, original</w:t>
      </w:r>
    </w:p>
    <w:p w14:paraId="78D7ABB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justification for armed struggle, and 3) inhabit a strategic geographic footing that aligns with</w:t>
      </w:r>
    </w:p>
    <w:p w14:paraId="04E4259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buffer doctrine (Laurence, 2017). Once again, the Iranian reliance on drone warfare has</w:t>
      </w:r>
    </w:p>
    <w:p w14:paraId="3F82C0B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begun to take shape in North Africa as a critical phase of its agitation doctrine (Cook, 2023). The</w:t>
      </w:r>
    </w:p>
    <w:p w14:paraId="1626E79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current Iranian bid for ideological representation in Algeria is a burgeoning example of Iran’s</w:t>
      </w:r>
    </w:p>
    <w:p w14:paraId="6D8E986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quest to expand its Shia Crescent, effectively expanding the regime’s reach to North Africa and</w:t>
      </w:r>
    </w:p>
    <w:p w14:paraId="127911B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Mediterranean. Politicians in Morocco have even warned of a “sectarian Shia invasion” while</w:t>
      </w:r>
    </w:p>
    <w:p w14:paraId="49A8733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grand mufti of neighboring Mauritania called on his nation to resist the “rising Shia tide”</w:t>
      </w:r>
    </w:p>
    <w:p w14:paraId="5E58DC7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(Laurence, 2017). Recent reporting on this attempt to establish an ideological corridor in Africa</w:t>
      </w:r>
    </w:p>
    <w:p w14:paraId="0443B726" w14:textId="60C2B4D6"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notes that exporting Iran’s revolution,</w:t>
      </w:r>
      <w:r w:rsidR="003E05A0">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“requires religious expansion through the manufacture of</w:t>
      </w:r>
    </w:p>
    <w:p w14:paraId="34D5EF6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sects affiliated with the rulers of Tehran and their absolute loyalty to the Supreme Leader of the</w:t>
      </w:r>
    </w:p>
    <w:p w14:paraId="0E4EA1B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Iranian revolution, established through the theory of “guardianship of the jurist” (Malek, 2023).</w:t>
      </w:r>
    </w:p>
    <w:p w14:paraId="799E5B5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This unique asymmetric doctrine allows Iran to outsource risk while using the immediate region</w:t>
      </w:r>
    </w:p>
    <w:p w14:paraId="4B2225F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as a canvas for the expansion of its political and military interests. By constructing a region-wide</w:t>
      </w:r>
    </w:p>
    <w:p w14:paraId="7817520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network of agitators, the regime offers a series of de-centralized soft targets, busying adversaries</w:t>
      </w:r>
    </w:p>
    <w:p w14:paraId="31B242C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that possess higher centers of gravity with disruption tactics and ultimately buying Iran standoff</w:t>
      </w:r>
    </w:p>
    <w:p w14:paraId="1EB80E7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from conventional or territorial engagements. While Iran stakes its survival and influence on its</w:t>
      </w:r>
    </w:p>
    <w:p w14:paraId="16103DC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operability through regional surrogates, it continues to contribute to its legacy as an empire in</w:t>
      </w:r>
    </w:p>
    <w:p w14:paraId="081EE4D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redoubt. Its desperations, a sign of an ideological resilience that defies conventional framing,</w:t>
      </w:r>
    </w:p>
    <w:p w14:paraId="243EEFD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cannot be understated.</w:t>
      </w:r>
    </w:p>
    <w:p w14:paraId="1D84DB9C" w14:textId="77777777" w:rsidR="00657965" w:rsidRPr="00657965" w:rsidRDefault="00657965" w:rsidP="003E05A0">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lastRenderedPageBreak/>
        <w:t>Counterstrategy</w:t>
      </w:r>
    </w:p>
    <w:p w14:paraId="0CE9BFD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 is increasingly evident that Iran’s broad use of these “forward” groups poses a</w:t>
      </w:r>
    </w:p>
    <w:p w14:paraId="7E71A8F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challenge to traditional maritime defense strategies and domain awareness. Modern navies on the</w:t>
      </w:r>
    </w:p>
    <w:p w14:paraId="696B1FD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forefront of this emergent threat are forced to adapt their deployment and sustainment, as well as</w:t>
      </w:r>
    </w:p>
    <w:p w14:paraId="4DB1190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reassess the cost-effectiveness of defensive countermeasures. In the scope of multinational naval</w:t>
      </w:r>
    </w:p>
    <w:p w14:paraId="1E19010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operations, member navies can attempt development of regional partnerships with nations that</w:t>
      </w:r>
    </w:p>
    <w:p w14:paraId="404A005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possess reasonable access to the Red Sea for refitting vessels after engagements. This proposal</w:t>
      </w:r>
    </w:p>
    <w:p w14:paraId="71FC521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would likely take more time than the urgency of the threat allows and involves governments</w:t>
      </w:r>
    </w:p>
    <w:p w14:paraId="77E6FF1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forging complex security assurances, a move that may not prove expedient.</w:t>
      </w:r>
    </w:p>
    <w:p w14:paraId="300D5842" w14:textId="3F2A6E34" w:rsidR="00657965" w:rsidRPr="00657965" w:rsidRDefault="00330232"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The evolution of Iran’s weapons technologies could on one hand, require the</w:t>
      </w:r>
      <w:r>
        <w:rPr>
          <w:rFonts w:ascii="Times New Roman" w:eastAsia="Times New Roman" w:hAnsi="Times New Roman" w:cs="Times New Roman"/>
          <w:color w:val="000000"/>
          <w:kern w:val="0"/>
          <w14:ligatures w14:val="none"/>
        </w:rPr>
        <w:t xml:space="preserve"> </w:t>
      </w:r>
      <w:r w:rsidR="00657965" w:rsidRPr="00657965">
        <w:rPr>
          <w:rFonts w:ascii="Times New Roman" w:eastAsia="Times New Roman" w:hAnsi="Times New Roman" w:cs="Times New Roman"/>
          <w:color w:val="000000"/>
          <w:kern w:val="0"/>
          <w14:ligatures w14:val="none"/>
        </w:rPr>
        <w:t>development of technological solutions with which navies or merchant vessels might counter the</w:t>
      </w:r>
    </w:p>
    <w:p w14:paraId="0AFFBA9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drone threat. One weapon that might be used to protect naval ships against drones and other</w:t>
      </w:r>
    </w:p>
    <w:p w14:paraId="0FA6DC5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threats is the electromagnetic railgun (EMRG) which works by accelerating a projectile up to</w:t>
      </w:r>
    </w:p>
    <w:p w14:paraId="0F5F13F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16,000 meters per second, using an electric current to drive a magnetic field. EMRGs could be</w:t>
      </w:r>
    </w:p>
    <w:p w14:paraId="4D8E1DA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used for anti-aircraft, anti-missile, and anti-surface naval operations (Flynn, 2021). While</w:t>
      </w:r>
    </w:p>
    <w:p w14:paraId="6014ACF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conventional systems fielded by the U.S. are limited by range, response time, and sustainment</w:t>
      </w:r>
    </w:p>
    <w:p w14:paraId="143B7D8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requirements, EMRG systems are capable of hitting targets that are 250 miles away within six</w:t>
      </w:r>
    </w:p>
    <w:p w14:paraId="494AA38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minutes, giving modern navies a possible advantage over drone threats. Exorbitant research and</w:t>
      </w:r>
    </w:p>
    <w:p w14:paraId="4F70D1A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development costs, however, have hindered further development for the U.S. Navy. For many</w:t>
      </w:r>
    </w:p>
    <w:p w14:paraId="3626E7E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years, the U.S. military led the way in railgun development, but after spending more than $500</w:t>
      </w:r>
    </w:p>
    <w:p w14:paraId="0D9C522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million on the project, the program was discontinued in 2021. The cited justifications were the</w:t>
      </w:r>
    </w:p>
    <w:p w14:paraId="410880F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need to redirect resources to other projects, such hypersonic missiles, and the engineering</w:t>
      </w:r>
    </w:p>
    <w:p w14:paraId="7E47E1D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difficulties involved, especially the barrel's propensity to deteriorate after just a few rounds.</w:t>
      </w:r>
    </w:p>
    <w:p w14:paraId="26B0B13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However, a misalignment between the intended role and changing Navy goals was a fundamental</w:t>
      </w:r>
    </w:p>
    <w:p w14:paraId="638BE51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motivator. Originally intended to outfit the next Zumwalt-class destroyers, development was</w:t>
      </w:r>
    </w:p>
    <w:p w14:paraId="08E0C08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abandoned due to financial concerns. Additionally, the railgun was designed largely to carry out</w:t>
      </w:r>
    </w:p>
    <w:p w14:paraId="3147E49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strikes that the Navy presently thinks future hypersonic missiles and existing cruise missiles can</w:t>
      </w:r>
    </w:p>
    <w:p w14:paraId="2E189ED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handle (Bruzzese, 2024).</w:t>
      </w:r>
    </w:p>
    <w:p w14:paraId="019263DE" w14:textId="59D2A85E" w:rsidR="00657965" w:rsidRPr="00657965" w:rsidRDefault="00330232"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Even as technological responses to Iran’s drone strategy are explored, the ideological</w:t>
      </w:r>
    </w:p>
    <w:p w14:paraId="680DF33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dimension of its proxy activities is one that decisionmakers must consider in a global landscape</w:t>
      </w:r>
    </w:p>
    <w:p w14:paraId="7A39892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where actors and materials are beholden to the motivations of ideas. One aspect that coalitions</w:t>
      </w:r>
    </w:p>
    <w:p w14:paraId="0C50B87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have relied upon in the past is the creation and funding of regional frameworks that place</w:t>
      </w:r>
    </w:p>
    <w:p w14:paraId="0FC0EEA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pressures on Tehran’s goals through diplomatic isolation (Hadi, 226). This method has not</w:t>
      </w:r>
    </w:p>
    <w:p w14:paraId="7790D64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always been fruitful as leveraging interdependence with nations that can isolate states that host</w:t>
      </w:r>
    </w:p>
    <w:p w14:paraId="0A788E6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Iran’s proxies have previously entrenched the regime further in its goals. Furthermore,</w:t>
      </w:r>
    </w:p>
    <w:p w14:paraId="4DFBB29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conventional responses are unlikely to deter proxy participants as their actions are inextricable</w:t>
      </w:r>
    </w:p>
    <w:p w14:paraId="4BFF85B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from their eschatological motivations, allowing the regime to decentralize its operations to its</w:t>
      </w:r>
    </w:p>
    <w:p w14:paraId="24BA0AD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benefit (Fakir, 2024). Ultimately, waiting to respond to threats places western-led multinational</w:t>
      </w:r>
    </w:p>
    <w:p w14:paraId="103F6F0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coalitions at a strategic disadvantage and permits Iran and its proxies the opportunity of</w:t>
      </w:r>
    </w:p>
    <w:p w14:paraId="6C93B9A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remaining a step ahead of purely reactive strategies.</w:t>
      </w:r>
    </w:p>
    <w:p w14:paraId="7A4658DD" w14:textId="77777777" w:rsidR="00657965" w:rsidRPr="00657965" w:rsidRDefault="00657965" w:rsidP="00330232">
      <w:pPr>
        <w:spacing w:line="480" w:lineRule="auto"/>
        <w:jc w:val="center"/>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b/>
          <w:bCs/>
          <w:color w:val="000000"/>
          <w:kern w:val="0"/>
          <w14:ligatures w14:val="none"/>
        </w:rPr>
        <w:t>Conclusion</w:t>
      </w:r>
    </w:p>
    <w:p w14:paraId="77CC19A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Following the departure of American forces from Afghanistan in August of 2021 and</w:t>
      </w:r>
    </w:p>
    <w:p w14:paraId="6C0045B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drawdown in Iraq, Tehran began to demonstrate its ability to militarily exhaust or “out-wait” the</w:t>
      </w:r>
    </w:p>
    <w:p w14:paraId="617FBD5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attempts of hostile regional interests to regulate or economically penetrate Central Asia for the</w:t>
      </w:r>
    </w:p>
    <w:p w14:paraId="7C90C66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long term. The proliferation of its third-party drone strategy against much larger, conventional</w:t>
      </w:r>
    </w:p>
    <w:p w14:paraId="5917E53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sea-going powers, continues to pose an enduring security challenge to multilateral networks</w:t>
      </w:r>
    </w:p>
    <w:p w14:paraId="04C11E4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11whose economies depend upon the regional stability of West Asia and its vicinities (Dagres,</w:t>
      </w:r>
    </w:p>
    <w:p w14:paraId="7FB2BB6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2020). There is growing contemporary discourse around the idea that limiting the narrative to</w:t>
      </w:r>
    </w:p>
    <w:p w14:paraId="06CCD1D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 being a “supporter of state-sponsored terrorism” might assign a dynamic and ever adapting</w:t>
      </w:r>
    </w:p>
    <w:p w14:paraId="7A9BC49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threat environment to a monolith (Byman, 2022). There is perhaps, a reasonable probability that</w:t>
      </w:r>
    </w:p>
    <w:p w14:paraId="44D2466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reducing Tehran’s multidimensional strategy to a simplistic, GWOT-era analysis will fail to</w:t>
      </w:r>
    </w:p>
    <w:p w14:paraId="51E48E73"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account for its performance as an effective regional power, able to project influence through</w:t>
      </w:r>
    </w:p>
    <w:p w14:paraId="4839BD3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ethno-cultural and ideological frameworks. Narratives that rely on notions of “terror” and armed</w:t>
      </w:r>
    </w:p>
    <w:p w14:paraId="6A1D1FA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fundamentalism may be in danger of consigning the growing threat of Iranian soft power to the</w:t>
      </w:r>
    </w:p>
    <w:p w14:paraId="7A55263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realm of abstractions. Iran’s weaponization of Shia values indicates an ascendancy of an Islamic</w:t>
      </w:r>
    </w:p>
    <w:p w14:paraId="2FA8A55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pole that sees itself in competition with the West, even if the West has not yet registered the</w:t>
      </w:r>
    </w:p>
    <w:p w14:paraId="73DBB07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signs.</w:t>
      </w:r>
    </w:p>
    <w:p w14:paraId="4E0E2929" w14:textId="0191F212" w:rsidR="00657965" w:rsidRPr="00657965" w:rsidRDefault="00330232"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While for the West, liberalism provides a fundamental medium for the influence of</w:t>
      </w:r>
    </w:p>
    <w:p w14:paraId="104DF8D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democratic values, Shia Islam has cemented itself as a workable ideological bastion from whence</w:t>
      </w:r>
    </w:p>
    <w:p w14:paraId="1A511080"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Tehran is able to streamline its regional vision. By using its Shia identity as culturally-unique</w:t>
      </w:r>
    </w:p>
    <w:p w14:paraId="32F2CCA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value system, Iran is able to insulate its ideological base from liberal-adjacent belief systems</w:t>
      </w:r>
    </w:p>
    <w:p w14:paraId="27A1E77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which its adversaries can exploit. Positioned at the Western edge of the central Asian plateau</w:t>
      </w:r>
    </w:p>
    <w:p w14:paraId="09391D3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between the Caspian Sea to the north, Persian Gulf to the west, and Gulf of Oman to the south,</w:t>
      </w:r>
    </w:p>
    <w:p w14:paraId="6F238DA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Iran commands a crucial geoeconomic space that has long been prized for its potential as a</w:t>
      </w:r>
    </w:p>
    <w:p w14:paraId="41FEB12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resource corridor (Noorali, 2022). Using its strategic geography as a foundation, Iran has, in the</w:t>
      </w:r>
    </w:p>
    <w:p w14:paraId="62DF5C3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meantime, accomplished an inversion of Mackinder’s “buffer” theory, effectively utilizing the</w:t>
      </w:r>
    </w:p>
    <w:p w14:paraId="2DE1A08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buffer-zone of pacified or hybrid states to its own advantage by activating third-party elements in</w:t>
      </w:r>
    </w:p>
    <w:p w14:paraId="43D7CF6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and around neighboring countries that serve as a democratized or destabilized geographic screen.</w:t>
      </w:r>
    </w:p>
    <w:p w14:paraId="493D82E1"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Centuries beyond Mackinder’s “Columbian Era’, in which Western European powers were able</w:t>
      </w:r>
    </w:p>
    <w:p w14:paraId="57D2DC5C"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lastRenderedPageBreak/>
        <w:t>to “employ specific naval and technological advantages to explore, penetrate, and colonize the</w:t>
      </w:r>
    </w:p>
    <w:p w14:paraId="4F5CA17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rest of the world”, the heartland hypothesis could be experiencing a reversal due to foreign</w:t>
      </w:r>
    </w:p>
    <w:p w14:paraId="2FAB4F96"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ideological, economic, and inroads in West Asian states that have catalyzed Iran into projecting</w:t>
      </w:r>
    </w:p>
    <w:p w14:paraId="5A1902E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its own buffer (Dueck, 2013). Nevertheless, Iran remains relevant to geopolitical theories due to</w:t>
      </w:r>
    </w:p>
    <w:p w14:paraId="0C91812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its diverse, strategic geography and access to natural resources (Zarei, 2023).</w:t>
      </w:r>
    </w:p>
    <w:p w14:paraId="4515A810" w14:textId="570060CC" w:rsidR="00657965" w:rsidRPr="00657965" w:rsidRDefault="00330232" w:rsidP="00780D8C">
      <w:pPr>
        <w:spacing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57965" w:rsidRPr="00657965">
        <w:rPr>
          <w:rFonts w:ascii="Times New Roman" w:eastAsia="Times New Roman" w:hAnsi="Times New Roman" w:cs="Times New Roman"/>
          <w:color w:val="000000"/>
          <w:kern w:val="0"/>
          <w14:ligatures w14:val="none"/>
        </w:rPr>
        <w:t>The diffusion of proxies as a fixture in shaping the foreign policies of competing states</w:t>
      </w:r>
    </w:p>
    <w:p w14:paraId="6ADD4C4B"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may signal a persistent and nascent phase of 21st century warfare. Iran’s reliance on developing</w:t>
      </w:r>
    </w:p>
    <w:p w14:paraId="46C4DB5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its regional complex of third-party actors and counterparts noticeably exploits cultural</w:t>
      </w:r>
    </w:p>
    <w:p w14:paraId="091EBF38"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resemblance and common goals that may outline an Iranian center of gravity. Ideologies, like</w:t>
      </w:r>
    </w:p>
    <w:p w14:paraId="7B9A866E"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geographies, possess a multidimensional character, applicable to particular times, landscapes,</w:t>
      </w:r>
    </w:p>
    <w:p w14:paraId="722427EA"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and circumstances within the realm of geopolitics. To quote political scientist and author Dmitry</w:t>
      </w:r>
    </w:p>
    <w:p w14:paraId="701C22E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Adamsky, “One can grasp deterrence strategy of a given actor only if one filters this strategy</w:t>
      </w:r>
    </w:p>
    <w:p w14:paraId="02732115"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through the lenses of strategic culture.” Per Adamsky’s interpretation, this criterion describes</w:t>
      </w:r>
    </w:p>
    <w:p w14:paraId="15C8C22D"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“beliefs, norms, values, assumptions, and narratives which shape collective identity and</w:t>
      </w:r>
    </w:p>
    <w:p w14:paraId="51CDFDE2"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mentality, and inform policy choices, organizational instinct and modus operandi of a given</w:t>
      </w:r>
    </w:p>
    <w:p w14:paraId="6BA12C05" w14:textId="7E05FBBF"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strategic community when it thinks about questions of peace and war.” As Iran’s Shia culture,</w:t>
      </w:r>
      <w:r w:rsidR="00C845EF">
        <w:rPr>
          <w:rFonts w:ascii="Times New Roman" w:eastAsia="Times New Roman" w:hAnsi="Times New Roman" w:cs="Times New Roman"/>
          <w:color w:val="000000"/>
          <w:kern w:val="0"/>
          <w14:ligatures w14:val="none"/>
        </w:rPr>
        <w:t xml:space="preserve"> </w:t>
      </w:r>
      <w:r w:rsidRPr="00657965">
        <w:rPr>
          <w:rFonts w:ascii="Times New Roman" w:eastAsia="Times New Roman" w:hAnsi="Times New Roman" w:cs="Times New Roman"/>
          <w:color w:val="000000"/>
          <w:kern w:val="0"/>
          <w14:ligatures w14:val="none"/>
        </w:rPr>
        <w:t>revolutionary state structure, and strategic geography anchor its survival and offer it a degree of</w:t>
      </w:r>
    </w:p>
    <w:p w14:paraId="2122A924"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resilience against convention for the time being, it exemplifies the pertinence of strategic culture</w:t>
      </w:r>
    </w:p>
    <w:p w14:paraId="49BF7E27"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in global security considerations. Furthermore, the proxy nature of the Red Sea crisis indicates</w:t>
      </w:r>
    </w:p>
    <w:p w14:paraId="52578139"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the possibility of a shift in power dynamics between state and non-state actors, creating the</w:t>
      </w:r>
    </w:p>
    <w:p w14:paraId="0205467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potential for escalation and permanent instability. While multilateral approaches have had</w:t>
      </w:r>
    </w:p>
    <w:p w14:paraId="1F6E20FF" w14:textId="77777777" w:rsidR="00657965" w:rsidRPr="00657965" w:rsidRDefault="00657965" w:rsidP="00780D8C">
      <w:pPr>
        <w:spacing w:line="480" w:lineRule="auto"/>
        <w:rPr>
          <w:rFonts w:ascii="Times New Roman" w:eastAsia="Times New Roman" w:hAnsi="Times New Roman" w:cs="Times New Roman"/>
          <w:color w:val="000000"/>
          <w:kern w:val="0"/>
          <w14:ligatures w14:val="none"/>
        </w:rPr>
      </w:pPr>
      <w:r w:rsidRPr="00657965">
        <w:rPr>
          <w:rFonts w:ascii="Times New Roman" w:eastAsia="Times New Roman" w:hAnsi="Times New Roman" w:cs="Times New Roman"/>
          <w:color w:val="000000"/>
          <w:kern w:val="0"/>
          <w14:ligatures w14:val="none"/>
        </w:rPr>
        <w:t>historical successes in combating regional perpetrators, the Iranian proxy strategy poses an</w:t>
      </w:r>
    </w:p>
    <w:p w14:paraId="380B5BF1" w14:textId="77777777" w:rsidR="00AF77F1" w:rsidRDefault="00657965" w:rsidP="00780D8C">
      <w:pPr>
        <w:spacing w:line="480" w:lineRule="auto"/>
        <w:rPr>
          <w:rFonts w:ascii="Times New Roman" w:eastAsia="Times New Roman" w:hAnsi="Times New Roman" w:cs="Times New Roman"/>
          <w:color w:val="000000"/>
          <w:kern w:val="0"/>
          <w14:ligatures w14:val="none"/>
        </w:rPr>
        <w:sectPr w:rsidR="00AF77F1" w:rsidSect="00037D1A">
          <w:footerReference w:type="even" r:id="rId7"/>
          <w:footerReference w:type="default" r:id="rId8"/>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r w:rsidRPr="00657965">
        <w:rPr>
          <w:rFonts w:ascii="Times New Roman" w:eastAsia="Times New Roman" w:hAnsi="Times New Roman" w:cs="Times New Roman"/>
          <w:color w:val="000000"/>
          <w:kern w:val="0"/>
          <w14:ligatures w14:val="none"/>
        </w:rPr>
        <w:t>obstacle of a radically new nature that will require adaptive security strategies to overcome.</w:t>
      </w:r>
    </w:p>
    <w:p w14:paraId="7BDEC59F" w14:textId="42E4232B" w:rsidR="0064690E" w:rsidRDefault="0064690E" w:rsidP="00780D8C">
      <w:pPr>
        <w:spacing w:line="480" w:lineRule="auto"/>
        <w:rPr>
          <w:rFonts w:ascii="Times New Roman" w:eastAsia="Times New Roman" w:hAnsi="Times New Roman" w:cs="Times New Roman"/>
          <w:color w:val="000000"/>
          <w:kern w:val="0"/>
          <w14:ligatures w14:val="none"/>
        </w:rPr>
      </w:pPr>
    </w:p>
    <w:p w14:paraId="04128B71" w14:textId="144C4A20" w:rsidR="0064690E" w:rsidRPr="00CD36D4" w:rsidRDefault="0064690E" w:rsidP="00CD36D4">
      <w:pPr>
        <w:jc w:val="center"/>
        <w:rPr>
          <w:rFonts w:ascii="Times New Roman" w:eastAsia="Times New Roman" w:hAnsi="Times New Roman" w:cs="Times New Roman"/>
          <w:color w:val="000000"/>
          <w:kern w:val="0"/>
          <w:u w:val="single"/>
          <w14:ligatures w14:val="none"/>
        </w:rPr>
      </w:pPr>
      <w:r w:rsidRPr="0064690E">
        <w:rPr>
          <w:rFonts w:ascii="Times New Roman" w:eastAsia="Times New Roman" w:hAnsi="Times New Roman" w:cs="Times New Roman"/>
          <w:color w:val="000000"/>
          <w:kern w:val="0"/>
          <w:u w:val="single"/>
          <w14:ligatures w14:val="none"/>
        </w:rPr>
        <w:t>Works Cited</w:t>
      </w:r>
    </w:p>
    <w:p w14:paraId="1117A69B" w14:textId="77777777" w:rsidR="00296842" w:rsidRPr="0064690E" w:rsidRDefault="00296842" w:rsidP="00AE50AA">
      <w:pPr>
        <w:ind w:left="3600" w:hanging="3600"/>
        <w:rPr>
          <w:rFonts w:ascii="Times New Roman" w:eastAsia="Times New Roman" w:hAnsi="Times New Roman" w:cs="Times New Roman"/>
          <w:color w:val="000000"/>
          <w:kern w:val="0"/>
          <w14:ligatures w14:val="none"/>
        </w:rPr>
      </w:pPr>
    </w:p>
    <w:p w14:paraId="567C2559"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Bahgat, Gawdat, and Anoushiravan Ehteshami. </w:t>
      </w:r>
      <w:r w:rsidRPr="0064690E">
        <w:rPr>
          <w:rFonts w:ascii="Times New Roman" w:eastAsia="Times New Roman" w:hAnsi="Times New Roman" w:cs="Times New Roman"/>
          <w:i/>
          <w:iCs/>
          <w:color w:val="000000"/>
          <w:kern w:val="0"/>
          <w14:ligatures w14:val="none"/>
        </w:rPr>
        <w:t>Defending Iran: From revolutionary guards to</w:t>
      </w:r>
    </w:p>
    <w:p w14:paraId="73B1A31E" w14:textId="533688FD"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ballistic missiles</w:t>
      </w:r>
      <w:r w:rsidR="0064690E" w:rsidRPr="0064690E">
        <w:rPr>
          <w:rFonts w:ascii="Times New Roman" w:eastAsia="Times New Roman" w:hAnsi="Times New Roman" w:cs="Times New Roman"/>
          <w:color w:val="000000"/>
          <w:kern w:val="0"/>
          <w14:ligatures w14:val="none"/>
        </w:rPr>
        <w:t>. Cambridge University Press, 2021.</w:t>
      </w:r>
    </w:p>
    <w:p w14:paraId="1F5A3BEC" w14:textId="77777777" w:rsidR="00F45F5E" w:rsidRPr="0064690E" w:rsidRDefault="00F45F5E" w:rsidP="0064690E">
      <w:pPr>
        <w:rPr>
          <w:rFonts w:ascii="Times New Roman" w:eastAsia="Times New Roman" w:hAnsi="Times New Roman" w:cs="Times New Roman"/>
          <w:color w:val="000000"/>
          <w:kern w:val="0"/>
          <w14:ligatures w14:val="none"/>
        </w:rPr>
      </w:pPr>
    </w:p>
    <w:p w14:paraId="00CBA34C" w14:textId="77777777" w:rsidR="0064690E" w:rsidRPr="0064690E" w:rsidRDefault="0064690E" w:rsidP="00CD36D4">
      <w:pPr>
        <w:ind w:left="720" w:hanging="720"/>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Bruzzese, Matt, and Peter W. Singer. “China’s Nascent Railgun Is Just the Tip of Its Shipboard</w:t>
      </w:r>
    </w:p>
    <w:p w14:paraId="1B93E6BC" w14:textId="1C5E86D1" w:rsidR="0064690E" w:rsidRPr="0064690E" w:rsidRDefault="003F65C9" w:rsidP="00CD36D4">
      <w:pPr>
        <w:ind w:left="720" w:hanging="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R&amp;D.” Defense One, Defense One, 15 Mar. 2024, www.defenseone.com/ideas/2024/03/chinas-nascent-railgun-just-tip-its-shipboard-</w:t>
      </w:r>
    </w:p>
    <w:p w14:paraId="7F2E8274" w14:textId="4302885F" w:rsidR="0064690E" w:rsidRDefault="003F65C9" w:rsidP="00CD36D4">
      <w:pPr>
        <w:ind w:left="720" w:hanging="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advances/394970/#:~:text=The%20U.S.%20military%20was%20a,a%20railgun%20for%20air%20defense.</w:t>
      </w:r>
    </w:p>
    <w:p w14:paraId="605873B1" w14:textId="77777777" w:rsidR="00F45F5E" w:rsidRPr="0064690E" w:rsidRDefault="00F45F5E" w:rsidP="0064690E">
      <w:pPr>
        <w:rPr>
          <w:rFonts w:ascii="Times New Roman" w:eastAsia="Times New Roman" w:hAnsi="Times New Roman" w:cs="Times New Roman"/>
          <w:color w:val="000000"/>
          <w:kern w:val="0"/>
          <w14:ligatures w14:val="none"/>
        </w:rPr>
      </w:pPr>
    </w:p>
    <w:p w14:paraId="364F87C7"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Byman, Daniel. "Understanding, and misunderstanding, state sponsorship of terrorism." Studies</w:t>
      </w:r>
    </w:p>
    <w:p w14:paraId="2418A11B" w14:textId="0051C8EE"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in Conflict &amp; Terrorism 45.12 (2022): 1031-1049.</w:t>
      </w:r>
    </w:p>
    <w:p w14:paraId="10413E85" w14:textId="77777777" w:rsidR="00F45F5E" w:rsidRPr="0064690E" w:rsidRDefault="00F45F5E" w:rsidP="0064690E">
      <w:pPr>
        <w:rPr>
          <w:rFonts w:ascii="Times New Roman" w:eastAsia="Times New Roman" w:hAnsi="Times New Roman" w:cs="Times New Roman"/>
          <w:color w:val="000000"/>
          <w:kern w:val="0"/>
          <w14:ligatures w14:val="none"/>
        </w:rPr>
      </w:pPr>
    </w:p>
    <w:p w14:paraId="5FE94B0B"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Cook, Lonzo. “Destabilizing Africa: Iranian Drones Menace Morocco.” The Defense Post, 18</w:t>
      </w:r>
    </w:p>
    <w:p w14:paraId="13F0D4B8" w14:textId="4F2CAF66"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July 2023, thedefensepost.com/2023/06/27/iran-drones-morocco/.</w:t>
      </w:r>
    </w:p>
    <w:p w14:paraId="7FA8F45E" w14:textId="77777777" w:rsidR="00F45F5E" w:rsidRPr="0064690E" w:rsidRDefault="00F45F5E" w:rsidP="0064690E">
      <w:pPr>
        <w:rPr>
          <w:rFonts w:ascii="Times New Roman" w:eastAsia="Times New Roman" w:hAnsi="Times New Roman" w:cs="Times New Roman"/>
          <w:color w:val="000000"/>
          <w:kern w:val="0"/>
          <w14:ligatures w14:val="none"/>
        </w:rPr>
      </w:pPr>
    </w:p>
    <w:p w14:paraId="191D43A7"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Crist, David. The Twilight War: The secret history of America's thirty-year conflict with Iran.</w:t>
      </w:r>
    </w:p>
    <w:p w14:paraId="12B928F9" w14:textId="49FB77B8"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Penguin, 2013.</w:t>
      </w:r>
    </w:p>
    <w:p w14:paraId="7EF229FE" w14:textId="77777777" w:rsidR="00F45F5E" w:rsidRPr="0064690E" w:rsidRDefault="00F45F5E" w:rsidP="0064690E">
      <w:pPr>
        <w:rPr>
          <w:rFonts w:ascii="Times New Roman" w:eastAsia="Times New Roman" w:hAnsi="Times New Roman" w:cs="Times New Roman"/>
          <w:color w:val="000000"/>
          <w:kern w:val="0"/>
          <w14:ligatures w14:val="none"/>
        </w:rPr>
      </w:pPr>
    </w:p>
    <w:p w14:paraId="6465A0FC"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Dagres, Holly. “The Shia Are a Black Hole for US Policy in the Middle East.” Atlantic Council,</w:t>
      </w:r>
    </w:p>
    <w:p w14:paraId="3F7A19CE" w14:textId="3A4E6C37"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2 Nov. 2020, </w:t>
      </w:r>
      <w:hyperlink r:id="rId9" w:history="1">
        <w:r w:rsidRPr="0064690E">
          <w:rPr>
            <w:rStyle w:val="Hyperlink"/>
            <w:rFonts w:ascii="Times New Roman" w:eastAsia="Times New Roman" w:hAnsi="Times New Roman" w:cs="Times New Roman"/>
            <w:kern w:val="0"/>
            <w14:ligatures w14:val="none"/>
          </w:rPr>
          <w:t>www.atlanticcouncil.org/blogs/menasource/the-shia-are-a-black-hole-for-</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us-policy-in-the-middle-east/.</w:t>
      </w:r>
    </w:p>
    <w:p w14:paraId="3BDF1559" w14:textId="77777777" w:rsidR="00FC4ACF" w:rsidRPr="0064690E" w:rsidRDefault="00FC4ACF" w:rsidP="0064690E">
      <w:pPr>
        <w:rPr>
          <w:rFonts w:ascii="Times New Roman" w:eastAsia="Times New Roman" w:hAnsi="Times New Roman" w:cs="Times New Roman"/>
          <w:color w:val="000000"/>
          <w:kern w:val="0"/>
          <w14:ligatures w14:val="none"/>
        </w:rPr>
      </w:pPr>
    </w:p>
    <w:p w14:paraId="4A3CB83F" w14:textId="391376A4"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Defense Intelligence Agency. “Iran: Enabling Houthi Attacks across the Middle East.” Defense</w:t>
      </w:r>
    </w:p>
    <w:p w14:paraId="16751C82" w14:textId="34BBCAD1" w:rsidR="0064690E" w:rsidRP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Intelligence Agency, 2024,</w:t>
      </w:r>
    </w:p>
    <w:p w14:paraId="3C61CDFD" w14:textId="42EDBB2A"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hyperlink r:id="rId10" w:history="1">
        <w:r w:rsidRPr="0064690E">
          <w:rPr>
            <w:rStyle w:val="Hyperlink"/>
            <w:rFonts w:ascii="Times New Roman" w:eastAsia="Times New Roman" w:hAnsi="Times New Roman" w:cs="Times New Roman"/>
            <w:kern w:val="0"/>
            <w14:ligatures w14:val="none"/>
          </w:rPr>
          <w:t>www.dia.mil/Portals/110/Documents/News/Military_Power_Publications/Iran_Houthi_Fi</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nal2.pdf.</w:t>
      </w:r>
    </w:p>
    <w:p w14:paraId="19066270" w14:textId="77777777" w:rsidR="00F45F5E" w:rsidRPr="0064690E" w:rsidRDefault="00F45F5E" w:rsidP="0064690E">
      <w:pPr>
        <w:rPr>
          <w:rFonts w:ascii="Times New Roman" w:eastAsia="Times New Roman" w:hAnsi="Times New Roman" w:cs="Times New Roman"/>
          <w:color w:val="000000"/>
          <w:kern w:val="0"/>
          <w14:ligatures w14:val="none"/>
        </w:rPr>
      </w:pPr>
    </w:p>
    <w:p w14:paraId="0F283868"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Dennard, Haydee, et al. “Blowback from Gaza: Geopolitics of the Houthi Red Sea Campaign.”</w:t>
      </w:r>
    </w:p>
    <w:p w14:paraId="089201F8" w14:textId="33943444"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Baker Institute, 2024, </w:t>
      </w:r>
      <w:hyperlink r:id="rId11" w:history="1">
        <w:r w:rsidRPr="0064690E">
          <w:rPr>
            <w:rStyle w:val="Hyperlink"/>
            <w:rFonts w:ascii="Times New Roman" w:eastAsia="Times New Roman" w:hAnsi="Times New Roman" w:cs="Times New Roman"/>
            <w:kern w:val="0"/>
            <w14:ligatures w14:val="none"/>
          </w:rPr>
          <w:t>www.bakerinstitute.org/research/blowback-gaza-geopolitics-</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houthi-red-sea-campaign.</w:t>
      </w:r>
    </w:p>
    <w:p w14:paraId="36DAF119" w14:textId="77777777" w:rsidR="00FC4ACF" w:rsidRPr="0064690E" w:rsidRDefault="00FC4ACF" w:rsidP="0064690E">
      <w:pPr>
        <w:rPr>
          <w:rFonts w:ascii="Times New Roman" w:eastAsia="Times New Roman" w:hAnsi="Times New Roman" w:cs="Times New Roman"/>
          <w:color w:val="000000"/>
          <w:kern w:val="0"/>
          <w14:ligatures w14:val="none"/>
        </w:rPr>
      </w:pPr>
    </w:p>
    <w:p w14:paraId="64623F96"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Dueck, Colin. “Geopolitics Reborn.” Foreign Policy Research Institute, 2013,</w:t>
      </w:r>
    </w:p>
    <w:p w14:paraId="282E5C0C" w14:textId="6F602C41"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hyperlink r:id="rId12" w:history="1">
        <w:r w:rsidRPr="0064690E">
          <w:rPr>
            <w:rStyle w:val="Hyperlink"/>
            <w:rFonts w:ascii="Times New Roman" w:eastAsia="Times New Roman" w:hAnsi="Times New Roman" w:cs="Times New Roman"/>
            <w:kern w:val="0"/>
            <w14:ligatures w14:val="none"/>
          </w:rPr>
          <w:t>www.fpri.org/article/2013/07/geopolitics-reborn/</w:t>
        </w:r>
      </w:hyperlink>
      <w:r w:rsidR="0064690E" w:rsidRPr="0064690E">
        <w:rPr>
          <w:rFonts w:ascii="Times New Roman" w:eastAsia="Times New Roman" w:hAnsi="Times New Roman" w:cs="Times New Roman"/>
          <w:color w:val="000000"/>
          <w:kern w:val="0"/>
          <w14:ligatures w14:val="none"/>
        </w:rPr>
        <w:t>.</w:t>
      </w:r>
    </w:p>
    <w:p w14:paraId="67FE0A0C" w14:textId="77777777" w:rsidR="00FC4ACF" w:rsidRPr="0064690E" w:rsidRDefault="00FC4ACF" w:rsidP="0064690E">
      <w:pPr>
        <w:rPr>
          <w:rFonts w:ascii="Times New Roman" w:eastAsia="Times New Roman" w:hAnsi="Times New Roman" w:cs="Times New Roman"/>
          <w:color w:val="000000"/>
          <w:kern w:val="0"/>
          <w14:ligatures w14:val="none"/>
        </w:rPr>
      </w:pPr>
    </w:p>
    <w:p w14:paraId="158E0A2F"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Dunn, Candace, and Justine Barden. “Red Sea Chokepoints Are Critical for International Oil and</w:t>
      </w:r>
    </w:p>
    <w:p w14:paraId="434EE8E6" w14:textId="4484AF94" w:rsidR="0064690E" w:rsidRDefault="00761E02"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Natural Gas Flows - U.S. Energy Information Administration (EIA).” </w:t>
      </w:r>
      <w:r w:rsidR="0064690E" w:rsidRPr="0064690E">
        <w:rPr>
          <w:rFonts w:ascii="Times New Roman" w:eastAsia="Times New Roman" w:hAnsi="Times New Roman" w:cs="Times New Roman"/>
          <w:i/>
          <w:iCs/>
          <w:color w:val="000000"/>
          <w:kern w:val="0"/>
          <w14:ligatures w14:val="none"/>
        </w:rPr>
        <w:t xml:space="preserve">Red Sea </w:t>
      </w: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Chokepoints Are</w:t>
      </w:r>
      <w:r>
        <w:rPr>
          <w:rFonts w:ascii="Times New Roman" w:eastAsia="Times New Roman" w:hAnsi="Times New Roman" w:cs="Times New Roman"/>
          <w:color w:val="000000"/>
          <w:kern w:val="0"/>
          <w14:ligatures w14:val="none"/>
        </w:rPr>
        <w:t xml:space="preserve"> </w:t>
      </w:r>
      <w:r w:rsidR="0064690E" w:rsidRPr="0064690E">
        <w:rPr>
          <w:rFonts w:ascii="Times New Roman" w:eastAsia="Times New Roman" w:hAnsi="Times New Roman" w:cs="Times New Roman"/>
          <w:i/>
          <w:iCs/>
          <w:color w:val="000000"/>
          <w:kern w:val="0"/>
          <w14:ligatures w14:val="none"/>
        </w:rPr>
        <w:t xml:space="preserve">Critical for International Oil and Natural Gas Flows - U.S. Energy </w:t>
      </w: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Information Administration</w:t>
      </w:r>
      <w:r>
        <w:rPr>
          <w:rFonts w:ascii="Times New Roman" w:eastAsia="Times New Roman" w:hAnsi="Times New Roman" w:cs="Times New Roman"/>
          <w:color w:val="000000"/>
          <w:kern w:val="0"/>
          <w14:ligatures w14:val="none"/>
        </w:rPr>
        <w:t xml:space="preserve"> </w:t>
      </w:r>
      <w:r w:rsidR="0064690E" w:rsidRPr="0064690E">
        <w:rPr>
          <w:rFonts w:ascii="Times New Roman" w:eastAsia="Times New Roman" w:hAnsi="Times New Roman" w:cs="Times New Roman"/>
          <w:i/>
          <w:iCs/>
          <w:color w:val="000000"/>
          <w:kern w:val="0"/>
          <w14:ligatures w14:val="none"/>
        </w:rPr>
        <w:t>(EIA)</w:t>
      </w:r>
      <w:r w:rsidR="0064690E" w:rsidRPr="0064690E">
        <w:rPr>
          <w:rFonts w:ascii="Times New Roman" w:eastAsia="Times New Roman" w:hAnsi="Times New Roman" w:cs="Times New Roman"/>
          <w:color w:val="000000"/>
          <w:kern w:val="0"/>
          <w14:ligatures w14:val="none"/>
        </w:rPr>
        <w:t xml:space="preserve">, 2023, </w:t>
      </w:r>
      <w:r w:rsidR="003F65C9">
        <w:rPr>
          <w:rFonts w:ascii="Times New Roman" w:eastAsia="Times New Roman" w:hAnsi="Times New Roman" w:cs="Times New Roman"/>
          <w:color w:val="000000"/>
          <w:kern w:val="0"/>
          <w14:ligatures w14:val="none"/>
        </w:rPr>
        <w:tab/>
      </w:r>
      <w:hyperlink r:id="rId13" w:history="1">
        <w:r w:rsidR="003F65C9" w:rsidRPr="0064690E">
          <w:rPr>
            <w:rStyle w:val="Hyperlink"/>
            <w:rFonts w:ascii="Times New Roman" w:eastAsia="Times New Roman" w:hAnsi="Times New Roman" w:cs="Times New Roman"/>
            <w:kern w:val="0"/>
            <w14:ligatures w14:val="none"/>
          </w:rPr>
          <w:t>www.eia.gov/todayinenergy/detail.php?id=61025</w:t>
        </w:r>
      </w:hyperlink>
      <w:r w:rsidR="0064690E" w:rsidRPr="0064690E">
        <w:rPr>
          <w:rFonts w:ascii="Times New Roman" w:eastAsia="Times New Roman" w:hAnsi="Times New Roman" w:cs="Times New Roman"/>
          <w:color w:val="000000"/>
          <w:kern w:val="0"/>
          <w14:ligatures w14:val="none"/>
        </w:rPr>
        <w:t>.</w:t>
      </w:r>
    </w:p>
    <w:p w14:paraId="0B24854D" w14:textId="77777777" w:rsidR="00FC4ACF" w:rsidRPr="0064690E" w:rsidRDefault="00FC4ACF" w:rsidP="0064690E">
      <w:pPr>
        <w:rPr>
          <w:rFonts w:ascii="Times New Roman" w:eastAsia="Times New Roman" w:hAnsi="Times New Roman" w:cs="Times New Roman"/>
          <w:color w:val="000000"/>
          <w:kern w:val="0"/>
          <w14:ligatures w14:val="none"/>
        </w:rPr>
      </w:pPr>
    </w:p>
    <w:p w14:paraId="4549AADA"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Fakir, Intissar, et al. “The Ideological Underpinnings of the Houthis’ Red Sea Attacks.” Middle</w:t>
      </w:r>
    </w:p>
    <w:p w14:paraId="5C4EEEB3" w14:textId="415EEFCC" w:rsidR="0064690E" w:rsidRDefault="00761E02"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ab/>
      </w:r>
      <w:r w:rsidR="0064690E" w:rsidRPr="0064690E">
        <w:rPr>
          <w:rFonts w:ascii="Times New Roman" w:eastAsia="Times New Roman" w:hAnsi="Times New Roman" w:cs="Times New Roman"/>
          <w:color w:val="000000"/>
          <w:kern w:val="0"/>
          <w14:ligatures w14:val="none"/>
        </w:rPr>
        <w:t xml:space="preserve">East Institute, 8 Aug. 2024, </w:t>
      </w:r>
      <w:hyperlink r:id="rId14" w:history="1">
        <w:r w:rsidRPr="0064690E">
          <w:rPr>
            <w:rStyle w:val="Hyperlink"/>
            <w:rFonts w:ascii="Times New Roman" w:eastAsia="Times New Roman" w:hAnsi="Times New Roman" w:cs="Times New Roman"/>
            <w:kern w:val="0"/>
            <w14:ligatures w14:val="none"/>
          </w:rPr>
          <w:t>www.mei.edu/publications/ideological-underpinnings-</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houthis-red-sea-attacks.</w:t>
      </w:r>
    </w:p>
    <w:p w14:paraId="06891AF4" w14:textId="77777777" w:rsidR="00FC4ACF" w:rsidRPr="0064690E" w:rsidRDefault="00FC4ACF" w:rsidP="0064690E">
      <w:pPr>
        <w:rPr>
          <w:rFonts w:ascii="Times New Roman" w:eastAsia="Times New Roman" w:hAnsi="Times New Roman" w:cs="Times New Roman"/>
          <w:color w:val="000000"/>
          <w:kern w:val="0"/>
          <w14:ligatures w14:val="none"/>
        </w:rPr>
      </w:pPr>
    </w:p>
    <w:p w14:paraId="5B2821D1"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Flynn, Brendan. "The coming high-tech Sino-American War at Sea? Naval Guns, Technology</w:t>
      </w:r>
    </w:p>
    <w:p w14:paraId="2DA63222" w14:textId="53C400DD" w:rsidR="0064690E" w:rsidRDefault="00761E02"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hybridity and the “Shock of the Old”." Defence Studies 21.3 (2021): 312-333.</w:t>
      </w:r>
    </w:p>
    <w:p w14:paraId="0B6ADFA3" w14:textId="77777777" w:rsidR="00FC4ACF" w:rsidRPr="0064690E" w:rsidRDefault="00FC4ACF" w:rsidP="0064690E">
      <w:pPr>
        <w:rPr>
          <w:rFonts w:ascii="Times New Roman" w:eastAsia="Times New Roman" w:hAnsi="Times New Roman" w:cs="Times New Roman"/>
          <w:color w:val="000000"/>
          <w:kern w:val="0"/>
          <w14:ligatures w14:val="none"/>
        </w:rPr>
      </w:pPr>
    </w:p>
    <w:p w14:paraId="5BDE08B5" w14:textId="77777777" w:rsid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Gumilev, L.N. </w:t>
      </w:r>
      <w:r w:rsidRPr="0064690E">
        <w:rPr>
          <w:rFonts w:ascii="Times New Roman" w:eastAsia="Times New Roman" w:hAnsi="Times New Roman" w:cs="Times New Roman"/>
          <w:i/>
          <w:iCs/>
          <w:color w:val="000000"/>
          <w:kern w:val="0"/>
          <w14:ligatures w14:val="none"/>
        </w:rPr>
        <w:t>Ethnogenesis and the Biosphere</w:t>
      </w:r>
      <w:r w:rsidRPr="0064690E">
        <w:rPr>
          <w:rFonts w:ascii="Times New Roman" w:eastAsia="Times New Roman" w:hAnsi="Times New Roman" w:cs="Times New Roman"/>
          <w:color w:val="000000"/>
          <w:kern w:val="0"/>
          <w14:ligatures w14:val="none"/>
        </w:rPr>
        <w:t>. Progress Publishers. 1990.</w:t>
      </w:r>
    </w:p>
    <w:p w14:paraId="38E1AF9F" w14:textId="77777777" w:rsidR="00FC4ACF" w:rsidRPr="0064690E" w:rsidRDefault="00FC4ACF" w:rsidP="0064690E">
      <w:pPr>
        <w:rPr>
          <w:rFonts w:ascii="Times New Roman" w:eastAsia="Times New Roman" w:hAnsi="Times New Roman" w:cs="Times New Roman"/>
          <w:color w:val="000000"/>
          <w:kern w:val="0"/>
          <w14:ligatures w14:val="none"/>
        </w:rPr>
      </w:pPr>
    </w:p>
    <w:p w14:paraId="7000F718" w14:textId="77777777" w:rsid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Hadi, Albert. </w:t>
      </w:r>
      <w:r w:rsidRPr="0064690E">
        <w:rPr>
          <w:rFonts w:ascii="Times New Roman" w:eastAsia="Times New Roman" w:hAnsi="Times New Roman" w:cs="Times New Roman"/>
          <w:i/>
          <w:iCs/>
          <w:color w:val="000000"/>
          <w:kern w:val="0"/>
          <w14:ligatures w14:val="none"/>
        </w:rPr>
        <w:t>Shadow Soldiers</w:t>
      </w:r>
      <w:r w:rsidRPr="0064690E">
        <w:rPr>
          <w:rFonts w:ascii="Times New Roman" w:eastAsia="Times New Roman" w:hAnsi="Times New Roman" w:cs="Times New Roman"/>
          <w:color w:val="000000"/>
          <w:kern w:val="0"/>
          <w14:ligatures w14:val="none"/>
        </w:rPr>
        <w:t>, Iran’s Global Proxy Strategy. Independent, 2024.</w:t>
      </w:r>
    </w:p>
    <w:p w14:paraId="3ECFA50B" w14:textId="77777777" w:rsidR="00FC4ACF" w:rsidRPr="0064690E" w:rsidRDefault="00FC4ACF" w:rsidP="0064690E">
      <w:pPr>
        <w:rPr>
          <w:rFonts w:ascii="Times New Roman" w:eastAsia="Times New Roman" w:hAnsi="Times New Roman" w:cs="Times New Roman"/>
          <w:color w:val="000000"/>
          <w:kern w:val="0"/>
          <w14:ligatures w14:val="none"/>
        </w:rPr>
      </w:pPr>
    </w:p>
    <w:p w14:paraId="701450C5"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Herd, Graeme P. “Victory Is Not Possible, Defeat Is Not an Option: The U.S., Iraq and the</w:t>
      </w:r>
    </w:p>
    <w:p w14:paraId="79492DB5" w14:textId="7CBFAB98" w:rsidR="0064690E" w:rsidRPr="0064690E" w:rsidRDefault="00761E02"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Middle East.” George C. Marshall European Center For Security Studies, 2006,</w:t>
      </w:r>
    </w:p>
    <w:p w14:paraId="3D602AF7" w14:textId="640ABC67" w:rsidR="0064690E" w:rsidRDefault="00761E02"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hyperlink r:id="rId15" w:history="1">
        <w:r w:rsidRPr="0064690E">
          <w:rPr>
            <w:rStyle w:val="Hyperlink"/>
            <w:rFonts w:ascii="Times New Roman" w:eastAsia="Times New Roman" w:hAnsi="Times New Roman" w:cs="Times New Roman"/>
            <w:kern w:val="0"/>
            <w14:ligatures w14:val="none"/>
          </w:rPr>
          <w:t>www.marshallcenter.org/en/publications/occasional-papers/victory-not-possible-defeat-</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not-option-us-iraq-and-middle-east.</w:t>
      </w:r>
    </w:p>
    <w:p w14:paraId="15434F5A" w14:textId="77777777" w:rsidR="00FC4ACF" w:rsidRDefault="00FC4ACF" w:rsidP="0064690E">
      <w:pPr>
        <w:rPr>
          <w:rFonts w:ascii="Times New Roman" w:eastAsia="Times New Roman" w:hAnsi="Times New Roman" w:cs="Times New Roman"/>
          <w:color w:val="000000"/>
          <w:kern w:val="0"/>
          <w14:ligatures w14:val="none"/>
        </w:rPr>
      </w:pPr>
    </w:p>
    <w:p w14:paraId="2D5D23FE" w14:textId="5E0C3468" w:rsidR="0064690E" w:rsidRPr="0088747E" w:rsidRDefault="0064690E" w:rsidP="0064690E">
      <w:pPr>
        <w:rPr>
          <w:rFonts w:ascii="Times New Roman" w:eastAsia="Times New Roman" w:hAnsi="Times New Roman" w:cs="Times New Roman"/>
          <w:color w:val="000000"/>
          <w:kern w:val="0"/>
          <w14:ligatures w14:val="none"/>
        </w:rPr>
      </w:pPr>
      <w:r w:rsidRPr="0088747E">
        <w:rPr>
          <w:rFonts w:ascii="Times New Roman" w:eastAsia="Times New Roman" w:hAnsi="Times New Roman" w:cs="Times New Roman"/>
          <w:color w:val="000000"/>
          <w:kern w:val="0"/>
          <w14:ligatures w14:val="none"/>
        </w:rPr>
        <w:t>IEA (2023), Oil Market Report - December 2023, IEA, Paris https://www.iea.org/reports/oil-</w:t>
      </w:r>
    </w:p>
    <w:p w14:paraId="693A8E14" w14:textId="66996093" w:rsidR="0064690E" w:rsidRPr="0088747E" w:rsidRDefault="0088747E"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88747E">
        <w:rPr>
          <w:rFonts w:ascii="Times New Roman" w:eastAsia="Times New Roman" w:hAnsi="Times New Roman" w:cs="Times New Roman"/>
          <w:color w:val="000000"/>
          <w:kern w:val="0"/>
          <w14:ligatures w14:val="none"/>
        </w:rPr>
        <w:t>market-report-december-2023</w:t>
      </w:r>
      <w:r w:rsidR="00CD36D4" w:rsidRPr="0088747E">
        <w:rPr>
          <w:rFonts w:ascii="Times New Roman" w:eastAsia="Times New Roman" w:hAnsi="Times New Roman" w:cs="Times New Roman"/>
          <w:color w:val="000000"/>
          <w:kern w:val="0"/>
          <w14:ligatures w14:val="none"/>
        </w:rPr>
        <w:t>.</w:t>
      </w:r>
    </w:p>
    <w:p w14:paraId="71138EF4" w14:textId="77777777" w:rsidR="00CD36D4" w:rsidRPr="0088747E" w:rsidRDefault="00CD36D4" w:rsidP="0064690E">
      <w:pPr>
        <w:rPr>
          <w:rFonts w:ascii="Times New Roman" w:eastAsia="Times New Roman" w:hAnsi="Times New Roman" w:cs="Times New Roman"/>
          <w:color w:val="000000"/>
          <w:kern w:val="0"/>
          <w14:ligatures w14:val="none"/>
        </w:rPr>
      </w:pPr>
    </w:p>
    <w:p w14:paraId="0669880F" w14:textId="77777777" w:rsidR="0064690E" w:rsidRPr="0088747E" w:rsidRDefault="0064690E" w:rsidP="0064690E">
      <w:pPr>
        <w:rPr>
          <w:rFonts w:ascii="Times New Roman" w:eastAsia="Times New Roman" w:hAnsi="Times New Roman" w:cs="Times New Roman"/>
          <w:color w:val="000000"/>
          <w:kern w:val="0"/>
          <w14:ligatures w14:val="none"/>
        </w:rPr>
      </w:pPr>
      <w:r w:rsidRPr="0088747E">
        <w:rPr>
          <w:rFonts w:ascii="Times New Roman" w:eastAsia="Times New Roman" w:hAnsi="Times New Roman" w:cs="Times New Roman"/>
          <w:color w:val="000000"/>
          <w:kern w:val="0"/>
          <w14:ligatures w14:val="none"/>
        </w:rPr>
        <w:t>Iran Press. “General Soleimani: The Red Sea Is No Longer Safe for the Americans.”</w:t>
      </w:r>
    </w:p>
    <w:p w14:paraId="56D6EA18" w14:textId="6CCF32D4" w:rsidR="00CE6BD8" w:rsidRDefault="0088747E"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88747E">
        <w:rPr>
          <w:rFonts w:ascii="Times New Roman" w:eastAsia="Times New Roman" w:hAnsi="Times New Roman" w:cs="Times New Roman"/>
          <w:color w:val="000000"/>
          <w:kern w:val="0"/>
          <w14:ligatures w14:val="none"/>
        </w:rPr>
        <w:t>Iranpress.Com, iranpress.com, 2018, iranpress.com/general-soleimani-the-red-sea-is-no-</w:t>
      </w:r>
      <w:r>
        <w:rPr>
          <w:rFonts w:ascii="Times New Roman" w:eastAsia="Times New Roman" w:hAnsi="Times New Roman" w:cs="Times New Roman"/>
          <w:color w:val="000000"/>
          <w:kern w:val="0"/>
          <w14:ligatures w14:val="none"/>
        </w:rPr>
        <w:tab/>
      </w:r>
      <w:r w:rsidR="0064690E" w:rsidRPr="0088747E">
        <w:rPr>
          <w:rFonts w:ascii="Times New Roman" w:eastAsia="Times New Roman" w:hAnsi="Times New Roman" w:cs="Times New Roman"/>
          <w:color w:val="000000"/>
          <w:kern w:val="0"/>
          <w14:ligatures w14:val="none"/>
        </w:rPr>
        <w:t>longer-safe-for-the-americans.</w:t>
      </w:r>
    </w:p>
    <w:p w14:paraId="267D54FF" w14:textId="77777777" w:rsidR="0088747E" w:rsidRPr="0064690E" w:rsidRDefault="0088747E" w:rsidP="0064690E">
      <w:pPr>
        <w:rPr>
          <w:rFonts w:ascii="Times New Roman" w:eastAsia="Times New Roman" w:hAnsi="Times New Roman" w:cs="Times New Roman"/>
          <w:color w:val="000000"/>
          <w:kern w:val="0"/>
          <w14:ligatures w14:val="none"/>
        </w:rPr>
      </w:pPr>
    </w:p>
    <w:p w14:paraId="768ED2A5"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Khaddour, Kheder, and Armenak Tokmajyan. “Borders without a Nation: Syria, Outside Powers,</w:t>
      </w:r>
    </w:p>
    <w:p w14:paraId="46EEACD8" w14:textId="280F294B" w:rsidR="0064690E" w:rsidRP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and Open-Ended Instability | Carnegie Endowment for International Peace.” </w:t>
      </w:r>
      <w:r w:rsidR="0064690E" w:rsidRPr="0064690E">
        <w:rPr>
          <w:rFonts w:ascii="Times New Roman" w:eastAsia="Times New Roman" w:hAnsi="Times New Roman" w:cs="Times New Roman"/>
          <w:i/>
          <w:iCs/>
          <w:color w:val="000000"/>
          <w:kern w:val="0"/>
          <w14:ligatures w14:val="none"/>
        </w:rPr>
        <w:t xml:space="preserve">Borders </w:t>
      </w: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Without a</w:t>
      </w:r>
      <w:r>
        <w:rPr>
          <w:rFonts w:ascii="Times New Roman" w:eastAsia="Times New Roman" w:hAnsi="Times New Roman" w:cs="Times New Roman"/>
          <w:color w:val="000000"/>
          <w:kern w:val="0"/>
          <w14:ligatures w14:val="none"/>
        </w:rPr>
        <w:t xml:space="preserve"> </w:t>
      </w:r>
      <w:r w:rsidR="0064690E" w:rsidRPr="0064690E">
        <w:rPr>
          <w:rFonts w:ascii="Times New Roman" w:eastAsia="Times New Roman" w:hAnsi="Times New Roman" w:cs="Times New Roman"/>
          <w:i/>
          <w:iCs/>
          <w:color w:val="000000"/>
          <w:kern w:val="0"/>
          <w14:ligatures w14:val="none"/>
        </w:rPr>
        <w:t>Nation: Syria, Outside Powers, and Open-Ended Instability</w:t>
      </w:r>
      <w:r w:rsidR="0064690E" w:rsidRPr="0064690E">
        <w:rPr>
          <w:rFonts w:ascii="Times New Roman" w:eastAsia="Times New Roman" w:hAnsi="Times New Roman" w:cs="Times New Roman"/>
          <w:color w:val="000000"/>
          <w:kern w:val="0"/>
          <w14:ligatures w14:val="none"/>
        </w:rPr>
        <w:t>, 2024,</w:t>
      </w:r>
    </w:p>
    <w:p w14:paraId="6DC38F03" w14:textId="2D6E4671"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carnegieendowment.org/research/2024/09/borders-without-a-nation-syria-outside-</w:t>
      </w: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powers-and-open-ended-instability?lang=en&amp;center=middle-east.</w:t>
      </w:r>
    </w:p>
    <w:p w14:paraId="504B0656" w14:textId="77777777" w:rsidR="00CE6BD8" w:rsidRPr="0064690E" w:rsidRDefault="00CE6BD8" w:rsidP="0064690E">
      <w:pPr>
        <w:rPr>
          <w:rFonts w:ascii="Times New Roman" w:eastAsia="Times New Roman" w:hAnsi="Times New Roman" w:cs="Times New Roman"/>
          <w:color w:val="000000"/>
          <w:kern w:val="0"/>
          <w14:ligatures w14:val="none"/>
        </w:rPr>
      </w:pPr>
    </w:p>
    <w:p w14:paraId="02525716"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Laurence, Jonathan. “In Sunni North Africa, Fears of Iran’s Shia Shadow.” </w:t>
      </w:r>
      <w:r w:rsidRPr="0064690E">
        <w:rPr>
          <w:rFonts w:ascii="Times New Roman" w:eastAsia="Times New Roman" w:hAnsi="Times New Roman" w:cs="Times New Roman"/>
          <w:i/>
          <w:iCs/>
          <w:color w:val="000000"/>
          <w:kern w:val="0"/>
          <w14:ligatures w14:val="none"/>
        </w:rPr>
        <w:t>Middle East Monitor</w:t>
      </w:r>
      <w:r w:rsidRPr="0064690E">
        <w:rPr>
          <w:rFonts w:ascii="Times New Roman" w:eastAsia="Times New Roman" w:hAnsi="Times New Roman" w:cs="Times New Roman"/>
          <w:color w:val="000000"/>
          <w:kern w:val="0"/>
          <w14:ligatures w14:val="none"/>
        </w:rPr>
        <w:t>,</w:t>
      </w:r>
    </w:p>
    <w:p w14:paraId="552B44F5" w14:textId="72FC924F"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Middle East Monitor, 27 Oct. 2017, </w:t>
      </w:r>
      <w:hyperlink r:id="rId16" w:history="1">
        <w:r w:rsidRPr="0064690E">
          <w:rPr>
            <w:rStyle w:val="Hyperlink"/>
            <w:rFonts w:ascii="Times New Roman" w:eastAsia="Times New Roman" w:hAnsi="Times New Roman" w:cs="Times New Roman"/>
            <w:kern w:val="0"/>
            <w14:ligatures w14:val="none"/>
          </w:rPr>
          <w:t>www.middleeastmonitor.com/20171027-in-sunni-</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north-africa-fears-of-irans-shiite-shadow/.</w:t>
      </w:r>
    </w:p>
    <w:p w14:paraId="2F34A623" w14:textId="77777777" w:rsidR="00CE6BD8" w:rsidRPr="0064690E" w:rsidRDefault="00CE6BD8" w:rsidP="0064690E">
      <w:pPr>
        <w:rPr>
          <w:rFonts w:ascii="Times New Roman" w:eastAsia="Times New Roman" w:hAnsi="Times New Roman" w:cs="Times New Roman"/>
          <w:color w:val="000000"/>
          <w:kern w:val="0"/>
          <w14:ligatures w14:val="none"/>
        </w:rPr>
      </w:pPr>
    </w:p>
    <w:p w14:paraId="780150E7"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Levy, David. "The Influence of Sea Power in Iran's Proxy War Part 1: Houthi Aggression in the</w:t>
      </w:r>
    </w:p>
    <w:p w14:paraId="6589AF51" w14:textId="3EE1CE49"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Red Sea." (2023).</w:t>
      </w:r>
    </w:p>
    <w:p w14:paraId="66A2645B" w14:textId="77777777" w:rsidR="00CE6BD8" w:rsidRPr="0064690E" w:rsidRDefault="00CE6BD8" w:rsidP="0064690E">
      <w:pPr>
        <w:rPr>
          <w:rFonts w:ascii="Times New Roman" w:eastAsia="Times New Roman" w:hAnsi="Times New Roman" w:cs="Times New Roman"/>
          <w:color w:val="000000"/>
          <w:kern w:val="0"/>
          <w14:ligatures w14:val="none"/>
        </w:rPr>
      </w:pPr>
    </w:p>
    <w:p w14:paraId="6E17AAF0"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Lewis, Bernard. “Iran in History.” PDF, web.statler.wvu.edu/~shahab/OtherFiles/IRAN-in-</w:t>
      </w:r>
    </w:p>
    <w:p w14:paraId="1D05A456" w14:textId="03751CE2"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History.pdf. Accessed 29 Nov. 2024.</w:t>
      </w:r>
    </w:p>
    <w:p w14:paraId="7873AEBF" w14:textId="77777777" w:rsidR="00CE6BD8" w:rsidRPr="0064690E" w:rsidRDefault="00CE6BD8" w:rsidP="0064690E">
      <w:pPr>
        <w:rPr>
          <w:rFonts w:ascii="Times New Roman" w:eastAsia="Times New Roman" w:hAnsi="Times New Roman" w:cs="Times New Roman"/>
          <w:color w:val="000000"/>
          <w:kern w:val="0"/>
          <w14:ligatures w14:val="none"/>
        </w:rPr>
      </w:pPr>
    </w:p>
    <w:p w14:paraId="7C7E4756"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Lob, Eric. "A New Arms Race Frontier: The Emerging Drone Competition Between Iran and Its</w:t>
      </w:r>
    </w:p>
    <w:p w14:paraId="3EC7F194" w14:textId="31D6407F"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Regional Rivals." The Arms Race in the Middle East: Contemporary Security Dynamics. </w:t>
      </w: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Cham:Springer International Publishing, 2023. 67-87.</w:t>
      </w:r>
    </w:p>
    <w:p w14:paraId="74CF4076" w14:textId="77777777" w:rsidR="00CE6BD8" w:rsidRPr="0064690E" w:rsidRDefault="00CE6BD8" w:rsidP="0064690E">
      <w:pPr>
        <w:rPr>
          <w:rFonts w:ascii="Times New Roman" w:eastAsia="Times New Roman" w:hAnsi="Times New Roman" w:cs="Times New Roman"/>
          <w:color w:val="000000"/>
          <w:kern w:val="0"/>
          <w14:ligatures w14:val="none"/>
        </w:rPr>
      </w:pPr>
    </w:p>
    <w:p w14:paraId="178B7EA7"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Malek, Anouar. “Algeria, the New Base of Iranian Influence in Africa.” NewsLooks, 2 Feb.</w:t>
      </w:r>
    </w:p>
    <w:p w14:paraId="5D8695DF" w14:textId="72CCA26D"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2023, </w:t>
      </w:r>
      <w:hyperlink r:id="rId17" w:history="1">
        <w:r w:rsidR="00CE6BD8" w:rsidRPr="0064690E">
          <w:rPr>
            <w:rStyle w:val="Hyperlink"/>
            <w:rFonts w:ascii="Times New Roman" w:eastAsia="Times New Roman" w:hAnsi="Times New Roman" w:cs="Times New Roman"/>
            <w:kern w:val="0"/>
            <w14:ligatures w14:val="none"/>
          </w:rPr>
          <w:t>www.newslooks.com/algeria-the-new-base-of-iranian-influence-in-africa/</w:t>
        </w:r>
      </w:hyperlink>
      <w:r w:rsidR="0064690E" w:rsidRPr="0064690E">
        <w:rPr>
          <w:rFonts w:ascii="Times New Roman" w:eastAsia="Times New Roman" w:hAnsi="Times New Roman" w:cs="Times New Roman"/>
          <w:color w:val="000000"/>
          <w:kern w:val="0"/>
          <w14:ligatures w14:val="none"/>
        </w:rPr>
        <w:t>.</w:t>
      </w:r>
    </w:p>
    <w:p w14:paraId="77F82772" w14:textId="77777777" w:rsidR="00CE6BD8" w:rsidRPr="0064690E" w:rsidRDefault="00CE6BD8" w:rsidP="0064690E">
      <w:pPr>
        <w:rPr>
          <w:rFonts w:ascii="Times New Roman" w:eastAsia="Times New Roman" w:hAnsi="Times New Roman" w:cs="Times New Roman"/>
          <w:color w:val="000000"/>
          <w:kern w:val="0"/>
          <w14:ligatures w14:val="none"/>
        </w:rPr>
      </w:pPr>
    </w:p>
    <w:p w14:paraId="51696F37" w14:textId="2B813FDA" w:rsidR="0064690E" w:rsidRDefault="0064690E" w:rsidP="00CE6BD8">
      <w:pPr>
        <w:ind w:left="720" w:hanging="720"/>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lastRenderedPageBreak/>
        <w:t>Noorali, Hassan &amp; Ahmadi, Seyyed. Iran's new geopolitics: heartland of the world’s corridors.</w:t>
      </w:r>
      <w:r w:rsidR="00CE6BD8">
        <w:rPr>
          <w:rFonts w:ascii="Times New Roman" w:eastAsia="Times New Roman" w:hAnsi="Times New Roman" w:cs="Times New Roman"/>
          <w:color w:val="000000"/>
          <w:kern w:val="0"/>
          <w14:ligatures w14:val="none"/>
        </w:rPr>
        <w:t xml:space="preserve"> </w:t>
      </w:r>
      <w:r w:rsidRPr="0064690E">
        <w:rPr>
          <w:rFonts w:ascii="Times New Roman" w:eastAsia="Times New Roman" w:hAnsi="Times New Roman" w:cs="Times New Roman"/>
          <w:color w:val="000000"/>
          <w:kern w:val="0"/>
          <w14:ligatures w14:val="none"/>
        </w:rPr>
        <w:t>GeoJournal. 2022.</w:t>
      </w:r>
    </w:p>
    <w:p w14:paraId="2DD1F39D" w14:textId="77777777" w:rsidR="00CE6BD8" w:rsidRPr="0064690E" w:rsidRDefault="00CE6BD8" w:rsidP="0064690E">
      <w:pPr>
        <w:rPr>
          <w:rFonts w:ascii="Times New Roman" w:eastAsia="Times New Roman" w:hAnsi="Times New Roman" w:cs="Times New Roman"/>
          <w:color w:val="000000"/>
          <w:kern w:val="0"/>
          <w14:ligatures w14:val="none"/>
        </w:rPr>
      </w:pPr>
    </w:p>
    <w:p w14:paraId="2A05C8EA" w14:textId="28161912" w:rsid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Pedrozo, Raul Pete. "Protecting the Free Flow of Commerce from Houthi Attacks off the </w:t>
      </w:r>
      <w:r w:rsidR="00B905BF">
        <w:rPr>
          <w:rFonts w:ascii="Times New Roman" w:eastAsia="Times New Roman" w:hAnsi="Times New Roman" w:cs="Times New Roman"/>
          <w:color w:val="000000"/>
          <w:kern w:val="0"/>
          <w14:ligatures w14:val="none"/>
        </w:rPr>
        <w:tab/>
      </w:r>
      <w:r w:rsidRPr="0064690E">
        <w:rPr>
          <w:rFonts w:ascii="Times New Roman" w:eastAsia="Times New Roman" w:hAnsi="Times New Roman" w:cs="Times New Roman"/>
          <w:color w:val="000000"/>
          <w:kern w:val="0"/>
          <w14:ligatures w14:val="none"/>
        </w:rPr>
        <w:t>Arabian</w:t>
      </w:r>
      <w:r w:rsidR="00CE6BD8">
        <w:rPr>
          <w:rFonts w:ascii="Times New Roman" w:eastAsia="Times New Roman" w:hAnsi="Times New Roman" w:cs="Times New Roman"/>
          <w:color w:val="000000"/>
          <w:kern w:val="0"/>
          <w14:ligatures w14:val="none"/>
        </w:rPr>
        <w:t xml:space="preserve"> </w:t>
      </w:r>
      <w:r w:rsidRPr="0064690E">
        <w:rPr>
          <w:rFonts w:ascii="Times New Roman" w:eastAsia="Times New Roman" w:hAnsi="Times New Roman" w:cs="Times New Roman"/>
          <w:color w:val="000000"/>
          <w:kern w:val="0"/>
          <w14:ligatures w14:val="none"/>
        </w:rPr>
        <w:t xml:space="preserve">Peninsula." </w:t>
      </w:r>
      <w:r w:rsidRPr="0064690E">
        <w:rPr>
          <w:rFonts w:ascii="Times New Roman" w:eastAsia="Times New Roman" w:hAnsi="Times New Roman" w:cs="Times New Roman"/>
          <w:i/>
          <w:iCs/>
          <w:color w:val="000000"/>
          <w:kern w:val="0"/>
          <w14:ligatures w14:val="none"/>
        </w:rPr>
        <w:t>International Law Studies</w:t>
      </w:r>
      <w:r w:rsidRPr="0064690E">
        <w:rPr>
          <w:rFonts w:ascii="Times New Roman" w:eastAsia="Times New Roman" w:hAnsi="Times New Roman" w:cs="Times New Roman"/>
          <w:color w:val="000000"/>
          <w:kern w:val="0"/>
          <w14:ligatures w14:val="none"/>
        </w:rPr>
        <w:t xml:space="preserve"> 103.1 (2024): 2.</w:t>
      </w:r>
    </w:p>
    <w:p w14:paraId="3AB58964" w14:textId="77777777" w:rsidR="00CE6BD8" w:rsidRPr="0064690E" w:rsidRDefault="00CE6BD8" w:rsidP="0064690E">
      <w:pPr>
        <w:rPr>
          <w:rFonts w:ascii="Times New Roman" w:eastAsia="Times New Roman" w:hAnsi="Times New Roman" w:cs="Times New Roman"/>
          <w:color w:val="000000"/>
          <w:kern w:val="0"/>
          <w14:ligatures w14:val="none"/>
        </w:rPr>
      </w:pPr>
    </w:p>
    <w:p w14:paraId="3AF98E21" w14:textId="21B3B2C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Rahman, Fareed, and Alvin R Cabral. “Shipping Costs Rise by up to 250% Due to Red Sea</w:t>
      </w:r>
    </w:p>
    <w:p w14:paraId="0EC5FF25" w14:textId="626FD090"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Attacks.” </w:t>
      </w:r>
      <w:r w:rsidR="0064690E" w:rsidRPr="0064690E">
        <w:rPr>
          <w:rFonts w:ascii="Times New Roman" w:eastAsia="Times New Roman" w:hAnsi="Times New Roman" w:cs="Times New Roman"/>
          <w:i/>
          <w:iCs/>
          <w:color w:val="000000"/>
          <w:kern w:val="0"/>
          <w14:ligatures w14:val="none"/>
        </w:rPr>
        <w:t>The National</w:t>
      </w:r>
      <w:r w:rsidR="0064690E" w:rsidRPr="0064690E">
        <w:rPr>
          <w:rFonts w:ascii="Times New Roman" w:eastAsia="Times New Roman" w:hAnsi="Times New Roman" w:cs="Times New Roman"/>
          <w:color w:val="000000"/>
          <w:kern w:val="0"/>
          <w14:ligatures w14:val="none"/>
        </w:rPr>
        <w:t>, 9 Jan. 2024,</w:t>
      </w:r>
      <w:r>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ab/>
      </w:r>
      <w:hyperlink r:id="rId18" w:history="1">
        <w:r w:rsidRPr="0064690E">
          <w:rPr>
            <w:rStyle w:val="Hyperlink"/>
            <w:rFonts w:ascii="Times New Roman" w:eastAsia="Times New Roman" w:hAnsi="Times New Roman" w:cs="Times New Roman"/>
            <w:kern w:val="0"/>
            <w14:ligatures w14:val="none"/>
          </w:rPr>
          <w:t>www.thenationalnews.com/business/2024/01/09/shipping-costs-have-risen-up-to-250-</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since-the-red-sea-attacks-began/.</w:t>
      </w:r>
    </w:p>
    <w:p w14:paraId="69ECA5F3" w14:textId="77777777" w:rsidR="00CE6BD8" w:rsidRPr="0064690E" w:rsidRDefault="00CE6BD8" w:rsidP="0064690E">
      <w:pPr>
        <w:rPr>
          <w:rFonts w:ascii="Times New Roman" w:eastAsia="Times New Roman" w:hAnsi="Times New Roman" w:cs="Times New Roman"/>
          <w:color w:val="000000"/>
          <w:kern w:val="0"/>
          <w14:ligatures w14:val="none"/>
        </w:rPr>
      </w:pPr>
    </w:p>
    <w:p w14:paraId="5CD9E510" w14:textId="77777777" w:rsidR="0064690E" w:rsidRPr="0064690E" w:rsidRDefault="0064690E" w:rsidP="005D6551">
      <w:pPr>
        <w:ind w:left="720" w:hanging="720"/>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Reed, Stanley. "Shipping Costs Soar in Wake of Red Sea Attacks." </w:t>
      </w:r>
      <w:r w:rsidRPr="0064690E">
        <w:rPr>
          <w:rFonts w:ascii="Times New Roman" w:eastAsia="Times New Roman" w:hAnsi="Times New Roman" w:cs="Times New Roman"/>
          <w:i/>
          <w:iCs/>
          <w:color w:val="000000"/>
          <w:kern w:val="0"/>
          <w14:ligatures w14:val="none"/>
        </w:rPr>
        <w:t>International New York</w:t>
      </w:r>
    </w:p>
    <w:p w14:paraId="2E35809D" w14:textId="1241BD81" w:rsidR="0064690E" w:rsidRDefault="00B905BF" w:rsidP="005D6551">
      <w:pPr>
        <w:ind w:left="720" w:hanging="720"/>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Times</w:t>
      </w:r>
      <w:r w:rsidR="0064690E" w:rsidRPr="0064690E">
        <w:rPr>
          <w:rFonts w:ascii="Times New Roman" w:eastAsia="Times New Roman" w:hAnsi="Times New Roman" w:cs="Times New Roman"/>
          <w:color w:val="000000"/>
          <w:kern w:val="0"/>
          <w14:ligatures w14:val="none"/>
        </w:rPr>
        <w:t xml:space="preserve"> (2024): NA-NA.</w:t>
      </w:r>
    </w:p>
    <w:p w14:paraId="497F3C9F" w14:textId="77777777" w:rsidR="00CE6BD8" w:rsidRPr="0064690E" w:rsidRDefault="00CE6BD8" w:rsidP="0064690E">
      <w:pPr>
        <w:rPr>
          <w:rFonts w:ascii="Times New Roman" w:eastAsia="Times New Roman" w:hAnsi="Times New Roman" w:cs="Times New Roman"/>
          <w:color w:val="000000"/>
          <w:kern w:val="0"/>
          <w14:ligatures w14:val="none"/>
        </w:rPr>
      </w:pPr>
    </w:p>
    <w:p w14:paraId="5593CCCB"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Robinson, Kali. “Iran’s Support of the Houthis: What to Know.” </w:t>
      </w:r>
      <w:r w:rsidRPr="0064690E">
        <w:rPr>
          <w:rFonts w:ascii="Times New Roman" w:eastAsia="Times New Roman" w:hAnsi="Times New Roman" w:cs="Times New Roman"/>
          <w:i/>
          <w:iCs/>
          <w:color w:val="000000"/>
          <w:kern w:val="0"/>
          <w14:ligatures w14:val="none"/>
        </w:rPr>
        <w:t>Iran’s Support of the Houthis:</w:t>
      </w:r>
    </w:p>
    <w:p w14:paraId="695EA20D" w14:textId="58C4E3D2" w:rsidR="0064690E" w:rsidRDefault="00B905BF"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i/>
          <w:iCs/>
          <w:color w:val="000000"/>
          <w:kern w:val="0"/>
          <w14:ligatures w14:val="none"/>
        </w:rPr>
        <w:tab/>
      </w:r>
      <w:r w:rsidR="0064690E" w:rsidRPr="0064690E">
        <w:rPr>
          <w:rFonts w:ascii="Times New Roman" w:eastAsia="Times New Roman" w:hAnsi="Times New Roman" w:cs="Times New Roman"/>
          <w:i/>
          <w:iCs/>
          <w:color w:val="000000"/>
          <w:kern w:val="0"/>
          <w14:ligatures w14:val="none"/>
        </w:rPr>
        <w:t>What to Know</w:t>
      </w:r>
      <w:r w:rsidR="0064690E" w:rsidRPr="0064690E">
        <w:rPr>
          <w:rFonts w:ascii="Times New Roman" w:eastAsia="Times New Roman" w:hAnsi="Times New Roman" w:cs="Times New Roman"/>
          <w:color w:val="000000"/>
          <w:kern w:val="0"/>
          <w14:ligatures w14:val="none"/>
        </w:rPr>
        <w:t xml:space="preserve">, Council on Foreign Relations, 2024, </w:t>
      </w:r>
      <w:hyperlink r:id="rId19" w:history="1">
        <w:r w:rsidRPr="0064690E">
          <w:rPr>
            <w:rStyle w:val="Hyperlink"/>
            <w:rFonts w:ascii="Times New Roman" w:eastAsia="Times New Roman" w:hAnsi="Times New Roman" w:cs="Times New Roman"/>
            <w:kern w:val="0"/>
            <w14:ligatures w14:val="none"/>
          </w:rPr>
          <w:t>www.cfr.org/in-brief/irans-support-</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houthis-what-know.</w:t>
      </w:r>
    </w:p>
    <w:p w14:paraId="4EF57609" w14:textId="77777777" w:rsidR="00CE6BD8" w:rsidRPr="0064690E" w:rsidRDefault="00CE6BD8" w:rsidP="0064690E">
      <w:pPr>
        <w:rPr>
          <w:rFonts w:ascii="Times New Roman" w:eastAsia="Times New Roman" w:hAnsi="Times New Roman" w:cs="Times New Roman"/>
          <w:color w:val="000000"/>
          <w:kern w:val="0"/>
          <w14:ligatures w14:val="none"/>
        </w:rPr>
      </w:pPr>
    </w:p>
    <w:p w14:paraId="6E7BA9A2"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Rogers, Paul. "Lost cause: consequences and implications of the war on terror." Terrorism:</w:t>
      </w:r>
    </w:p>
    <w:p w14:paraId="19278EAF" w14:textId="6E324200"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Bridging the Gap with Peace and Conflict Studies. Routledge, 2016.</w:t>
      </w:r>
    </w:p>
    <w:p w14:paraId="4A44809F" w14:textId="77777777" w:rsidR="00CE6BD8" w:rsidRPr="0064690E" w:rsidRDefault="00CE6BD8" w:rsidP="0064690E">
      <w:pPr>
        <w:rPr>
          <w:rFonts w:ascii="Times New Roman" w:eastAsia="Times New Roman" w:hAnsi="Times New Roman" w:cs="Times New Roman"/>
          <w:color w:val="000000"/>
          <w:kern w:val="0"/>
          <w14:ligatures w14:val="none"/>
        </w:rPr>
      </w:pPr>
    </w:p>
    <w:p w14:paraId="1D999988"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Ruitenberg, Rudy. “French Navy Defends Use of Million-Euro Missiles to down Houthi</w:t>
      </w:r>
    </w:p>
    <w:p w14:paraId="28A3B499" w14:textId="191AF004" w:rsidR="0064690E" w:rsidRP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Drones.” </w:t>
      </w:r>
      <w:r w:rsidR="0064690E" w:rsidRPr="0064690E">
        <w:rPr>
          <w:rFonts w:ascii="Times New Roman" w:eastAsia="Times New Roman" w:hAnsi="Times New Roman" w:cs="Times New Roman"/>
          <w:i/>
          <w:iCs/>
          <w:color w:val="000000"/>
          <w:kern w:val="0"/>
          <w14:ligatures w14:val="none"/>
        </w:rPr>
        <w:t>Defense News</w:t>
      </w:r>
      <w:r w:rsidR="0064690E" w:rsidRPr="0064690E">
        <w:rPr>
          <w:rFonts w:ascii="Times New Roman" w:eastAsia="Times New Roman" w:hAnsi="Times New Roman" w:cs="Times New Roman"/>
          <w:color w:val="000000"/>
          <w:kern w:val="0"/>
          <w14:ligatures w14:val="none"/>
        </w:rPr>
        <w:t>, Defense News, 16 Jan. 2024,</w:t>
      </w:r>
    </w:p>
    <w:p w14:paraId="55B3EFAF" w14:textId="105542DC" w:rsid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hyperlink r:id="rId20" w:history="1">
        <w:r w:rsidRPr="0064690E">
          <w:rPr>
            <w:rStyle w:val="Hyperlink"/>
            <w:rFonts w:ascii="Times New Roman" w:eastAsia="Times New Roman" w:hAnsi="Times New Roman" w:cs="Times New Roman"/>
            <w:kern w:val="0"/>
            <w14:ligatures w14:val="none"/>
          </w:rPr>
          <w:t>www.defensenews.com/global/europe/2024/01/11/french-navy-defends-use-of-million-</w:t>
        </w:r>
      </w:hyperlink>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euro-missiles-to-down-houthi-drones/.</w:t>
      </w:r>
    </w:p>
    <w:p w14:paraId="4BF73869" w14:textId="77777777" w:rsidR="00CE6BD8" w:rsidRPr="0064690E" w:rsidRDefault="00CE6BD8" w:rsidP="0064690E">
      <w:pPr>
        <w:rPr>
          <w:rFonts w:ascii="Times New Roman" w:eastAsia="Times New Roman" w:hAnsi="Times New Roman" w:cs="Times New Roman"/>
          <w:color w:val="000000"/>
          <w:kern w:val="0"/>
          <w14:ligatures w14:val="none"/>
        </w:rPr>
      </w:pPr>
    </w:p>
    <w:p w14:paraId="785D92D9" w14:textId="0A7C6210" w:rsid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 xml:space="preserve">Seligman, Lara, and Matt Berg. “A $2m Missile vs. a $2,000 Drone: Pentagon Worried over </w:t>
      </w:r>
      <w:r w:rsidR="003F65C9">
        <w:rPr>
          <w:rFonts w:ascii="Times New Roman" w:eastAsia="Times New Roman" w:hAnsi="Times New Roman" w:cs="Times New Roman"/>
          <w:color w:val="000000"/>
          <w:kern w:val="0"/>
          <w14:ligatures w14:val="none"/>
        </w:rPr>
        <w:tab/>
      </w:r>
      <w:r w:rsidRPr="0064690E">
        <w:rPr>
          <w:rFonts w:ascii="Times New Roman" w:eastAsia="Times New Roman" w:hAnsi="Times New Roman" w:cs="Times New Roman"/>
          <w:color w:val="000000"/>
          <w:kern w:val="0"/>
          <w14:ligatures w14:val="none"/>
        </w:rPr>
        <w:t>Cost</w:t>
      </w:r>
      <w:r w:rsidR="00CE6BD8">
        <w:rPr>
          <w:rFonts w:ascii="Times New Roman" w:eastAsia="Times New Roman" w:hAnsi="Times New Roman" w:cs="Times New Roman"/>
          <w:color w:val="000000"/>
          <w:kern w:val="0"/>
          <w14:ligatures w14:val="none"/>
        </w:rPr>
        <w:t xml:space="preserve"> </w:t>
      </w:r>
      <w:r w:rsidRPr="0064690E">
        <w:rPr>
          <w:rFonts w:ascii="Times New Roman" w:eastAsia="Times New Roman" w:hAnsi="Times New Roman" w:cs="Times New Roman"/>
          <w:color w:val="000000"/>
          <w:kern w:val="0"/>
          <w14:ligatures w14:val="none"/>
        </w:rPr>
        <w:t xml:space="preserve">of Houthi Attacks.” Politico, 2023, </w:t>
      </w:r>
      <w:hyperlink r:id="rId21" w:history="1">
        <w:r w:rsidR="003F65C9" w:rsidRPr="0064690E">
          <w:rPr>
            <w:rStyle w:val="Hyperlink"/>
            <w:rFonts w:ascii="Times New Roman" w:eastAsia="Times New Roman" w:hAnsi="Times New Roman" w:cs="Times New Roman"/>
            <w:kern w:val="0"/>
            <w14:ligatures w14:val="none"/>
          </w:rPr>
          <w:t>www.politico.com/news/2023/12/19/missile-</w:t>
        </w:r>
      </w:hyperlink>
      <w:r w:rsidR="003F65C9">
        <w:rPr>
          <w:rFonts w:ascii="Times New Roman" w:eastAsia="Times New Roman" w:hAnsi="Times New Roman" w:cs="Times New Roman"/>
          <w:color w:val="000000"/>
          <w:kern w:val="0"/>
          <w14:ligatures w14:val="none"/>
        </w:rPr>
        <w:tab/>
      </w:r>
      <w:r w:rsidRPr="0064690E">
        <w:rPr>
          <w:rFonts w:ascii="Times New Roman" w:eastAsia="Times New Roman" w:hAnsi="Times New Roman" w:cs="Times New Roman"/>
          <w:color w:val="000000"/>
          <w:kern w:val="0"/>
          <w14:ligatures w14:val="none"/>
        </w:rPr>
        <w:t>drone-pentagon-houthi-attacks-iran-00132480.</w:t>
      </w:r>
    </w:p>
    <w:p w14:paraId="232E7958" w14:textId="77777777" w:rsidR="00CE6BD8" w:rsidRPr="0064690E" w:rsidRDefault="00CE6BD8" w:rsidP="0064690E">
      <w:pPr>
        <w:rPr>
          <w:rFonts w:ascii="Times New Roman" w:eastAsia="Times New Roman" w:hAnsi="Times New Roman" w:cs="Times New Roman"/>
          <w:color w:val="000000"/>
          <w:kern w:val="0"/>
          <w14:ligatures w14:val="none"/>
        </w:rPr>
      </w:pPr>
    </w:p>
    <w:p w14:paraId="38D79567" w14:textId="77777777" w:rsidR="0064690E" w:rsidRPr="0064690E" w:rsidRDefault="0064690E" w:rsidP="00CD36D4">
      <w:pPr>
        <w:ind w:left="1440" w:hanging="1440"/>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Tabatabai, Ariane M. No conquest, no defeat: Iran's national security strategy. Oxford University</w:t>
      </w:r>
    </w:p>
    <w:p w14:paraId="418B72F3" w14:textId="13892121" w:rsidR="0064690E" w:rsidRDefault="003F65C9" w:rsidP="00CD36D4">
      <w:pPr>
        <w:ind w:left="2160" w:hanging="216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r w:rsidR="0064690E" w:rsidRPr="0064690E">
        <w:rPr>
          <w:rFonts w:ascii="Times New Roman" w:eastAsia="Times New Roman" w:hAnsi="Times New Roman" w:cs="Times New Roman"/>
          <w:color w:val="000000"/>
          <w:kern w:val="0"/>
          <w14:ligatures w14:val="none"/>
        </w:rPr>
        <w:t>Press, 2020.</w:t>
      </w:r>
    </w:p>
    <w:p w14:paraId="73FD8F92" w14:textId="77777777" w:rsidR="00CE6BD8" w:rsidRPr="0064690E" w:rsidRDefault="00CE6BD8" w:rsidP="0064690E">
      <w:pPr>
        <w:rPr>
          <w:rFonts w:ascii="Times New Roman" w:eastAsia="Times New Roman" w:hAnsi="Times New Roman" w:cs="Times New Roman"/>
          <w:color w:val="000000"/>
          <w:kern w:val="0"/>
          <w14:ligatures w14:val="none"/>
        </w:rPr>
      </w:pPr>
    </w:p>
    <w:p w14:paraId="1DC5A8A6" w14:textId="5779A3B3" w:rsid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UNCTAD Rapid Assessment. (UNCTAD/OSG/INF/2024/2). 2024</w:t>
      </w:r>
      <w:r w:rsidR="00CE6BD8">
        <w:rPr>
          <w:rFonts w:ascii="Times New Roman" w:eastAsia="Times New Roman" w:hAnsi="Times New Roman" w:cs="Times New Roman"/>
          <w:color w:val="000000"/>
          <w:kern w:val="0"/>
          <w14:ligatures w14:val="none"/>
        </w:rPr>
        <w:t>.</w:t>
      </w:r>
    </w:p>
    <w:p w14:paraId="0256D017" w14:textId="77777777" w:rsidR="00CE6BD8" w:rsidRPr="0064690E" w:rsidRDefault="00CE6BD8" w:rsidP="0064690E">
      <w:pPr>
        <w:rPr>
          <w:rFonts w:ascii="Times New Roman" w:eastAsia="Times New Roman" w:hAnsi="Times New Roman" w:cs="Times New Roman"/>
          <w:color w:val="000000"/>
          <w:kern w:val="0"/>
          <w14:ligatures w14:val="none"/>
        </w:rPr>
      </w:pPr>
    </w:p>
    <w:p w14:paraId="42E3B003" w14:textId="77777777" w:rsidR="0064690E" w:rsidRPr="0064690E" w:rsidRDefault="0064690E" w:rsidP="00CD36D4">
      <w:pPr>
        <w:ind w:left="720" w:hanging="720"/>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Zarei, Mojtaba, and Seyyed Ebrahim Sarparast Sadat. "Back to Geopolitics: The Problem of</w:t>
      </w:r>
    </w:p>
    <w:p w14:paraId="33E43669" w14:textId="0EC8B2F4" w:rsidR="0064690E" w:rsidRDefault="003F65C9" w:rsidP="00CD36D4">
      <w:pPr>
        <w:ind w:left="720" w:hanging="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Ignoring Iran's Geopolitics." Geopolitics Quarterly 19.70 (2023): 220-246.</w:t>
      </w:r>
    </w:p>
    <w:p w14:paraId="1A5FD9CE" w14:textId="77777777" w:rsidR="00CE6BD8" w:rsidRPr="0064690E" w:rsidRDefault="00CE6BD8" w:rsidP="0064690E">
      <w:pPr>
        <w:rPr>
          <w:rFonts w:ascii="Times New Roman" w:eastAsia="Times New Roman" w:hAnsi="Times New Roman" w:cs="Times New Roman"/>
          <w:color w:val="000000"/>
          <w:kern w:val="0"/>
          <w14:ligatures w14:val="none"/>
        </w:rPr>
      </w:pPr>
    </w:p>
    <w:p w14:paraId="55083362" w14:textId="77777777" w:rsidR="0064690E" w:rsidRPr="0064690E" w:rsidRDefault="0064690E" w:rsidP="0064690E">
      <w:pPr>
        <w:rPr>
          <w:rFonts w:ascii="Times New Roman" w:eastAsia="Times New Roman" w:hAnsi="Times New Roman" w:cs="Times New Roman"/>
          <w:color w:val="000000"/>
          <w:kern w:val="0"/>
          <w14:ligatures w14:val="none"/>
        </w:rPr>
      </w:pPr>
      <w:r w:rsidRPr="0064690E">
        <w:rPr>
          <w:rFonts w:ascii="Times New Roman" w:eastAsia="Times New Roman" w:hAnsi="Times New Roman" w:cs="Times New Roman"/>
          <w:color w:val="000000"/>
          <w:kern w:val="0"/>
          <w14:ligatures w14:val="none"/>
        </w:rPr>
        <w:t>Ziegler, Charles E. “Filling the Void Left by Great-Power Retrenchment: Russia, Central Asia,</w:t>
      </w:r>
    </w:p>
    <w:p w14:paraId="76449DE6" w14:textId="2313B7D9" w:rsidR="0064690E" w:rsidRPr="0064690E" w:rsidRDefault="003F65C9" w:rsidP="0064690E">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 xml:space="preserve">and the U.S. Withdrawal from Afghanistan.” </w:t>
      </w:r>
      <w:r w:rsidR="0064690E" w:rsidRPr="0064690E">
        <w:rPr>
          <w:rFonts w:ascii="Times New Roman" w:eastAsia="Times New Roman" w:hAnsi="Times New Roman" w:cs="Times New Roman"/>
          <w:i/>
          <w:iCs/>
          <w:color w:val="000000"/>
          <w:kern w:val="0"/>
          <w14:ligatures w14:val="none"/>
        </w:rPr>
        <w:t>Texas National Security Review</w:t>
      </w:r>
      <w:r w:rsidR="0064690E" w:rsidRPr="0064690E">
        <w:rPr>
          <w:rFonts w:ascii="Times New Roman" w:eastAsia="Times New Roman" w:hAnsi="Times New Roman" w:cs="Times New Roman"/>
          <w:color w:val="000000"/>
          <w:kern w:val="0"/>
          <w14:ligatures w14:val="none"/>
        </w:rPr>
        <w:t xml:space="preserve">, 19 Nov. </w:t>
      </w: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2024,16tnsr.org/2024/08/filling-the-void-left-by-great-power-retrenchment-russia-</w:t>
      </w:r>
      <w:r>
        <w:rPr>
          <w:rFonts w:ascii="Times New Roman" w:eastAsia="Times New Roman" w:hAnsi="Times New Roman" w:cs="Times New Roman"/>
          <w:color w:val="000000"/>
          <w:kern w:val="0"/>
          <w14:ligatures w14:val="none"/>
        </w:rPr>
        <w:tab/>
      </w:r>
      <w:r w:rsidR="0064690E" w:rsidRPr="0064690E">
        <w:rPr>
          <w:rFonts w:ascii="Times New Roman" w:eastAsia="Times New Roman" w:hAnsi="Times New Roman" w:cs="Times New Roman"/>
          <w:color w:val="000000"/>
          <w:kern w:val="0"/>
          <w14:ligatures w14:val="none"/>
        </w:rPr>
        <w:t>central-asia-and-the-u-s-withdrawal-from-afghanistan/.</w:t>
      </w:r>
    </w:p>
    <w:p w14:paraId="49E4F034" w14:textId="77777777" w:rsidR="00902219" w:rsidRDefault="00902219" w:rsidP="00780D8C">
      <w:pPr>
        <w:spacing w:line="480" w:lineRule="auto"/>
        <w:rPr>
          <w:rFonts w:ascii="Times New Roman" w:eastAsia="Times New Roman" w:hAnsi="Times New Roman" w:cs="Times New Roman"/>
          <w:color w:val="000000"/>
          <w:kern w:val="0"/>
          <w14:ligatures w14:val="none"/>
        </w:rPr>
        <w:sectPr w:rsidR="00902219" w:rsidSect="00C558EA">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668D3AC8" w14:textId="4B140799" w:rsidR="00FC311F" w:rsidRDefault="009D415F" w:rsidP="00FC311F">
      <w:pPr>
        <w:rPr>
          <w:rFonts w:ascii="Bodoni MT" w:hAnsi="Bodoni MT" w:cs="Times New Roman"/>
          <w:i/>
          <w:iCs/>
          <w:sz w:val="40"/>
          <w:szCs w:val="40"/>
        </w:rPr>
      </w:pPr>
      <w:r>
        <w:rPr>
          <w:rFonts w:ascii="Bodoni MT" w:hAnsi="Bodoni MT" w:cs="Times New Roman"/>
          <w:i/>
          <w:iCs/>
          <w:sz w:val="40"/>
          <w:szCs w:val="40"/>
        </w:rPr>
        <w:lastRenderedPageBreak/>
        <w:t>On Chastity and Martyrdom</w:t>
      </w:r>
    </w:p>
    <w:p w14:paraId="5314EBD6" w14:textId="2E128B07" w:rsidR="00FC311F" w:rsidRPr="00E61647" w:rsidRDefault="009D415F" w:rsidP="00FC311F">
      <w:pPr>
        <w:rPr>
          <w:rFonts w:ascii="Bodoni MT" w:hAnsi="Bodoni MT" w:cs="Times New Roman"/>
          <w:i/>
          <w:iCs/>
          <w:sz w:val="32"/>
          <w:szCs w:val="32"/>
        </w:rPr>
      </w:pPr>
      <w:r>
        <w:rPr>
          <w:rFonts w:ascii="Bodoni MT" w:hAnsi="Bodoni MT" w:cs="Times New Roman"/>
          <w:sz w:val="32"/>
          <w:szCs w:val="32"/>
        </w:rPr>
        <w:t>The Veneration and Significance of the Seven Women Martyrs in the Catholic Canon</w:t>
      </w:r>
    </w:p>
    <w:p w14:paraId="64A86122" w14:textId="5D27342B" w:rsidR="00FC311F" w:rsidRPr="00BB2859" w:rsidRDefault="00FC311F" w:rsidP="00FC311F">
      <w:pPr>
        <w:rPr>
          <w:rFonts w:ascii="Times New Roman" w:hAnsi="Times New Roman" w:cs="Times New Roman"/>
        </w:rPr>
      </w:pPr>
      <w:r>
        <w:rPr>
          <w:rFonts w:ascii="Bodoni MT" w:hAnsi="Bodoni MT" w:cs="Times New Roman"/>
        </w:rPr>
        <w:t>Annie Kelley</w:t>
      </w:r>
    </w:p>
    <w:p w14:paraId="2AA340E0" w14:textId="77777777" w:rsidR="00FC311F" w:rsidRDefault="00FC311F" w:rsidP="00FC311F">
      <w:pPr>
        <w:rPr>
          <w:rFonts w:ascii="Bodoni MT" w:hAnsi="Bodoni MT" w:cs="Times New Roman"/>
          <w:sz w:val="48"/>
          <w:szCs w:val="48"/>
        </w:rPr>
      </w:pPr>
    </w:p>
    <w:p w14:paraId="53FC9DF3" w14:textId="77777777" w:rsidR="00FC311F" w:rsidRDefault="00FC311F" w:rsidP="00FC311F">
      <w:pPr>
        <w:rPr>
          <w:rFonts w:ascii="Bodoni MT" w:hAnsi="Bodoni MT" w:cs="Times New Roman"/>
          <w:i/>
          <w:iCs/>
          <w:sz w:val="32"/>
          <w:szCs w:val="32"/>
        </w:rPr>
      </w:pPr>
      <w:r>
        <w:rPr>
          <w:rFonts w:ascii="Bodoni MT" w:hAnsi="Bodoni MT" w:cs="Times New Roman"/>
          <w:i/>
          <w:iCs/>
          <w:noProof/>
          <w:sz w:val="32"/>
          <w:szCs w:val="32"/>
        </w:rPr>
        <mc:AlternateContent>
          <mc:Choice Requires="wps">
            <w:drawing>
              <wp:anchor distT="0" distB="0" distL="114300" distR="114300" simplePos="0" relativeHeight="251671552" behindDoc="0" locked="0" layoutInCell="1" allowOverlap="1" wp14:anchorId="4A7117C9" wp14:editId="6FAA4F49">
                <wp:simplePos x="0" y="0"/>
                <wp:positionH relativeFrom="margin">
                  <wp:posOffset>683741</wp:posOffset>
                </wp:positionH>
                <wp:positionV relativeFrom="paragraph">
                  <wp:posOffset>185849</wp:posOffset>
                </wp:positionV>
                <wp:extent cx="5272216" cy="0"/>
                <wp:effectExtent l="0" t="0" r="0" b="0"/>
                <wp:wrapNone/>
                <wp:docPr id="303446887" name="Straight Connector 2"/>
                <wp:cNvGraphicFramePr/>
                <a:graphic xmlns:a="http://schemas.openxmlformats.org/drawingml/2006/main">
                  <a:graphicData uri="http://schemas.microsoft.com/office/word/2010/wordprocessingShape">
                    <wps:wsp>
                      <wps:cNvCnPr/>
                      <wps:spPr>
                        <a:xfrm>
                          <a:off x="0" y="0"/>
                          <a:ext cx="5272216"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50EEF15" id="Straight Connector 2"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85pt,14.65pt" to="469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" strokecolor="black [3200]" strokeweight="1pt">
                <v:stroke joinstyle="miter"/>
                <w10:wrap anchorx="margin"/>
              </v:line>
            </w:pict>
          </mc:Fallback>
        </mc:AlternateContent>
      </w:r>
      <w:r w:rsidRPr="00751207">
        <w:rPr>
          <w:rFonts w:ascii="Bodoni MT" w:hAnsi="Bodoni MT" w:cs="Times New Roman"/>
          <w:i/>
          <w:iCs/>
          <w:sz w:val="32"/>
          <w:szCs w:val="32"/>
        </w:rPr>
        <w:t>Abstract</w:t>
      </w:r>
    </w:p>
    <w:p w14:paraId="51BDC43A" w14:textId="77777777" w:rsidR="00FC311F" w:rsidRPr="0036080B" w:rsidRDefault="00FC311F" w:rsidP="00FC311F">
      <w:pPr>
        <w:pStyle w:val="p1"/>
        <w:spacing w:line="276" w:lineRule="auto"/>
        <w:rPr>
          <w:sz w:val="24"/>
          <w:szCs w:val="24"/>
        </w:rPr>
      </w:pPr>
      <w:r w:rsidRPr="0036080B">
        <w:rPr>
          <w:sz w:val="24"/>
          <w:szCs w:val="24"/>
        </w:rPr>
        <w:t>Christianity, spreading across the Roman Empire at the beginning of the common era,</w:t>
      </w:r>
    </w:p>
    <w:p w14:paraId="781DC37A" w14:textId="77777777" w:rsidR="00FC311F" w:rsidRPr="0036080B" w:rsidRDefault="00FC311F" w:rsidP="00FC311F">
      <w:pPr>
        <w:pStyle w:val="p1"/>
        <w:spacing w:line="276" w:lineRule="auto"/>
        <w:rPr>
          <w:sz w:val="24"/>
          <w:szCs w:val="24"/>
        </w:rPr>
      </w:pPr>
      <w:r w:rsidRPr="0036080B">
        <w:rPr>
          <w:sz w:val="24"/>
          <w:szCs w:val="24"/>
        </w:rPr>
        <w:t xml:space="preserve">began threatening a central Roman tenet – </w:t>
      </w:r>
      <w:r w:rsidRPr="0036080B">
        <w:rPr>
          <w:i/>
          <w:iCs/>
          <w:sz w:val="24"/>
          <w:szCs w:val="24"/>
        </w:rPr>
        <w:t>pax deorum</w:t>
      </w:r>
      <w:r w:rsidRPr="0036080B">
        <w:rPr>
          <w:sz w:val="24"/>
          <w:szCs w:val="24"/>
        </w:rPr>
        <w:t>. Christians, specifically because of their</w:t>
      </w:r>
    </w:p>
    <w:p w14:paraId="28E11A6E" w14:textId="77777777" w:rsidR="00FC311F" w:rsidRPr="0036080B" w:rsidRDefault="00FC311F" w:rsidP="00FC311F">
      <w:pPr>
        <w:pStyle w:val="p1"/>
        <w:spacing w:line="276" w:lineRule="auto"/>
        <w:rPr>
          <w:sz w:val="24"/>
          <w:szCs w:val="24"/>
        </w:rPr>
      </w:pPr>
      <w:r w:rsidRPr="0036080B">
        <w:rPr>
          <w:sz w:val="24"/>
          <w:szCs w:val="24"/>
        </w:rPr>
        <w:t>refusal to sacrifice to or worship the Roman gods, became a target of persecution by Roman</w:t>
      </w:r>
    </w:p>
    <w:p w14:paraId="5EBFB238" w14:textId="77777777" w:rsidR="00FC311F" w:rsidRDefault="00FC311F" w:rsidP="00FC311F">
      <w:pPr>
        <w:pStyle w:val="p1"/>
        <w:spacing w:line="276" w:lineRule="auto"/>
        <w:rPr>
          <w:sz w:val="24"/>
          <w:szCs w:val="24"/>
        </w:rPr>
      </w:pPr>
      <w:r w:rsidRPr="0036080B">
        <w:rPr>
          <w:sz w:val="24"/>
          <w:szCs w:val="24"/>
        </w:rPr>
        <w:t>emperors because the Romans feared such failure to worship would anger the gods, thus disrupting</w:t>
      </w:r>
      <w:r>
        <w:rPr>
          <w:sz w:val="24"/>
          <w:szCs w:val="24"/>
        </w:rPr>
        <w:t xml:space="preserve"> </w:t>
      </w:r>
      <w:r w:rsidRPr="0036080B">
        <w:rPr>
          <w:sz w:val="24"/>
          <w:szCs w:val="24"/>
        </w:rPr>
        <w:t>the prosperity of the empire. This essay addresses seven women martyrs - Felicity, Perpetua,</w:t>
      </w:r>
      <w:r>
        <w:rPr>
          <w:sz w:val="24"/>
          <w:szCs w:val="24"/>
        </w:rPr>
        <w:t xml:space="preserve"> </w:t>
      </w:r>
      <w:r w:rsidRPr="0036080B">
        <w:rPr>
          <w:sz w:val="24"/>
          <w:szCs w:val="24"/>
        </w:rPr>
        <w:t>Agatha, Lucy, Agnes, Cecelia, and Anastasia – whom the Catholic Canon of the Mass and the</w:t>
      </w:r>
      <w:r>
        <w:rPr>
          <w:sz w:val="24"/>
          <w:szCs w:val="24"/>
        </w:rPr>
        <w:t xml:space="preserve"> </w:t>
      </w:r>
      <w:r w:rsidRPr="0036080B">
        <w:rPr>
          <w:sz w:val="24"/>
          <w:szCs w:val="24"/>
        </w:rPr>
        <w:t>Orthodox Church venerate, and who died during the eras of persecution between the first and third</w:t>
      </w:r>
      <w:r>
        <w:rPr>
          <w:sz w:val="24"/>
          <w:szCs w:val="24"/>
        </w:rPr>
        <w:t xml:space="preserve"> </w:t>
      </w:r>
      <w:r w:rsidRPr="0036080B">
        <w:rPr>
          <w:sz w:val="24"/>
          <w:szCs w:val="24"/>
        </w:rPr>
        <w:t>centuries of the common era. Despite living in different centuries, these women shared the virtue</w:t>
      </w:r>
      <w:r>
        <w:rPr>
          <w:sz w:val="24"/>
          <w:szCs w:val="24"/>
        </w:rPr>
        <w:t xml:space="preserve"> </w:t>
      </w:r>
      <w:r w:rsidRPr="0036080B">
        <w:rPr>
          <w:sz w:val="24"/>
          <w:szCs w:val="24"/>
        </w:rPr>
        <w:t>of chastity. Chastity was a means for women to worship the Judeo-Christian God in a distinct way.</w:t>
      </w:r>
      <w:r>
        <w:rPr>
          <w:sz w:val="24"/>
          <w:szCs w:val="24"/>
        </w:rPr>
        <w:t xml:space="preserve"> </w:t>
      </w:r>
      <w:r w:rsidRPr="0036080B">
        <w:rPr>
          <w:sz w:val="24"/>
          <w:szCs w:val="24"/>
        </w:rPr>
        <w:t>Their imitation of the Virgin Mary (with the encomiums of the New Testament about Mary’s</w:t>
      </w:r>
      <w:r>
        <w:rPr>
          <w:sz w:val="24"/>
          <w:szCs w:val="24"/>
        </w:rPr>
        <w:t xml:space="preserve"> </w:t>
      </w:r>
      <w:r w:rsidRPr="0036080B">
        <w:rPr>
          <w:sz w:val="24"/>
          <w:szCs w:val="24"/>
        </w:rPr>
        <w:t>virginity) and their response to Christ’s call to cling to Him as the bridegroom led early church</w:t>
      </w:r>
      <w:r>
        <w:rPr>
          <w:sz w:val="24"/>
          <w:szCs w:val="24"/>
        </w:rPr>
        <w:t xml:space="preserve"> </w:t>
      </w:r>
      <w:r w:rsidRPr="0036080B">
        <w:rPr>
          <w:sz w:val="24"/>
          <w:szCs w:val="24"/>
        </w:rPr>
        <w:t>figures and hagiographers to emphasize chastity as a distinctly female virtue,</w:t>
      </w:r>
      <w:r>
        <w:rPr>
          <w:sz w:val="24"/>
          <w:szCs w:val="24"/>
        </w:rPr>
        <w:t xml:space="preserve"> </w:t>
      </w:r>
      <w:r w:rsidRPr="0036080B">
        <w:rPr>
          <w:sz w:val="24"/>
          <w:szCs w:val="24"/>
        </w:rPr>
        <w:t>especially among the</w:t>
      </w:r>
      <w:r>
        <w:rPr>
          <w:sz w:val="24"/>
          <w:szCs w:val="24"/>
        </w:rPr>
        <w:t xml:space="preserve"> </w:t>
      </w:r>
      <w:r w:rsidRPr="0036080B">
        <w:rPr>
          <w:sz w:val="24"/>
          <w:szCs w:val="24"/>
        </w:rPr>
        <w:t>seven women. They have since been associated with the virtue and have inspired other women to</w:t>
      </w:r>
      <w:r>
        <w:rPr>
          <w:sz w:val="24"/>
          <w:szCs w:val="24"/>
        </w:rPr>
        <w:t xml:space="preserve"> </w:t>
      </w:r>
      <w:r w:rsidRPr="0036080B">
        <w:rPr>
          <w:sz w:val="24"/>
          <w:szCs w:val="24"/>
        </w:rPr>
        <w:t>follow suit. For women at that time, chastity was scorned. However, the seven women martyrs</w:t>
      </w:r>
      <w:r>
        <w:rPr>
          <w:sz w:val="24"/>
          <w:szCs w:val="24"/>
        </w:rPr>
        <w:t xml:space="preserve"> </w:t>
      </w:r>
      <w:r w:rsidRPr="0036080B">
        <w:rPr>
          <w:sz w:val="24"/>
          <w:szCs w:val="24"/>
        </w:rPr>
        <w:t>understood that chastity for worship meant sacrifice. This paper demonstrates three ways that the</w:t>
      </w:r>
      <w:r>
        <w:rPr>
          <w:sz w:val="24"/>
          <w:szCs w:val="24"/>
        </w:rPr>
        <w:t xml:space="preserve"> </w:t>
      </w:r>
      <w:r w:rsidRPr="0036080B">
        <w:rPr>
          <w:sz w:val="24"/>
          <w:szCs w:val="24"/>
        </w:rPr>
        <w:t>seven women sacrificed to adhere to chastity: defying the</w:t>
      </w:r>
      <w:r>
        <w:rPr>
          <w:sz w:val="24"/>
          <w:szCs w:val="24"/>
        </w:rPr>
        <w:t xml:space="preserve"> </w:t>
      </w:r>
      <w:r w:rsidRPr="0036080B">
        <w:rPr>
          <w:sz w:val="24"/>
          <w:szCs w:val="24"/>
        </w:rPr>
        <w:t>Roman marital tradition, denying their</w:t>
      </w:r>
      <w:r>
        <w:rPr>
          <w:sz w:val="24"/>
          <w:szCs w:val="24"/>
        </w:rPr>
        <w:t xml:space="preserve"> </w:t>
      </w:r>
      <w:r w:rsidRPr="0036080B">
        <w:rPr>
          <w:sz w:val="24"/>
          <w:szCs w:val="24"/>
        </w:rPr>
        <w:t>identity as women, and sacrificing their lives in imitation of Christ.</w:t>
      </w:r>
    </w:p>
    <w:p w14:paraId="63F85F68" w14:textId="77777777" w:rsidR="00FC311F" w:rsidRPr="00D77C0E" w:rsidRDefault="00FC311F" w:rsidP="00FC311F">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72576" behindDoc="0" locked="0" layoutInCell="1" allowOverlap="1" wp14:anchorId="73B0987B" wp14:editId="58D6955A">
                <wp:simplePos x="0" y="0"/>
                <wp:positionH relativeFrom="margin">
                  <wp:align>right</wp:align>
                </wp:positionH>
                <wp:positionV relativeFrom="paragraph">
                  <wp:posOffset>51349</wp:posOffset>
                </wp:positionV>
                <wp:extent cx="5947719" cy="0"/>
                <wp:effectExtent l="0" t="0" r="0" b="0"/>
                <wp:wrapNone/>
                <wp:docPr id="318307694" name="Straight Connector 3"/>
                <wp:cNvGraphicFramePr/>
                <a:graphic xmlns:a="http://schemas.openxmlformats.org/drawingml/2006/main">
                  <a:graphicData uri="http://schemas.microsoft.com/office/word/2010/wordprocessingShape">
                    <wps:wsp>
                      <wps:cNvCnPr/>
                      <wps:spPr>
                        <a:xfrm>
                          <a:off x="0" y="0"/>
                          <a:ext cx="5947719"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33DAC3AA" id="Straight Connector 3" o:spid="_x0000_s1026" style="position:absolute;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7.1pt,4.05pt" to="885.4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" strokecolor="black [3200]" strokeweight="1pt">
                <v:stroke joinstyle="miter"/>
                <w10:wrap anchorx="margin"/>
              </v:line>
            </w:pict>
          </mc:Fallback>
        </mc:AlternateContent>
      </w:r>
    </w:p>
    <w:p w14:paraId="5E2C384A" w14:textId="77777777" w:rsidR="00A0289E" w:rsidRDefault="00A0289E" w:rsidP="0036080B">
      <w:pPr>
        <w:pStyle w:val="p1"/>
        <w:rPr>
          <w:sz w:val="24"/>
          <w:szCs w:val="24"/>
        </w:rPr>
      </w:pPr>
    </w:p>
    <w:p w14:paraId="4C611A3D" w14:textId="00CE8AD0"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When Catholics pray “[t]o us, also, your servants, who, though sinners, hope in your abundant mercies, graciously grant some share and fellowship with your holy Apostles and Martyrs… admit us, we beseech you, into their company, not weighing our merits, but granting us your pardon, through Christ our Lord,”</w:t>
      </w:r>
      <w:r w:rsidR="005448BC">
        <w:rPr>
          <w:rStyle w:val="FootnoteReference"/>
          <w:rFonts w:ascii="Times New Roman" w:hAnsi="Times New Roman" w:cs="Times New Roman"/>
        </w:rPr>
        <w:footnoteReference w:customMarkFollows="1" w:id="49"/>
        <w:t>1</w:t>
      </w:r>
      <w:r w:rsidR="005448BC">
        <w:rPr>
          <w:rFonts w:ascii="Times New Roman" w:hAnsi="Times New Roman" w:cs="Times New Roman"/>
        </w:rPr>
        <w:t xml:space="preserve"> </w:t>
      </w:r>
      <w:r w:rsidRPr="00725849">
        <w:rPr>
          <w:rFonts w:ascii="Times New Roman" w:hAnsi="Times New Roman" w:cs="Times New Roman"/>
        </w:rPr>
        <w:t xml:space="preserve">they invoke apostles, martyrs, and saints in the </w:t>
      </w:r>
      <w:r w:rsidRPr="00725849">
        <w:rPr>
          <w:rFonts w:ascii="Times New Roman" w:hAnsi="Times New Roman" w:cs="Times New Roman"/>
        </w:rPr>
        <w:lastRenderedPageBreak/>
        <w:t>Catholic canon</w:t>
      </w:r>
      <w:r w:rsidRPr="00725849">
        <w:rPr>
          <w:rFonts w:ascii="Times New Roman" w:hAnsi="Times New Roman" w:cs="Times New Roman"/>
          <w:vertAlign w:val="superscript"/>
        </w:rPr>
        <w:footnoteReference w:id="50"/>
      </w:r>
      <w:r w:rsidRPr="00725849">
        <w:rPr>
          <w:rFonts w:ascii="Times New Roman" w:hAnsi="Times New Roman" w:cs="Times New Roman"/>
        </w:rPr>
        <w:t xml:space="preserve"> in the first Eucharistic Prayer for intercession on their behalf. The priest, uttering the prayer while consecrating the Eucharist, lists fifteen saints by name, including seven women martyrs – Felicity, Perpetua, Agatha, Lucy, Agnes, Cecilia, and Anastasia. These women, virgin martyrs during the first four centuries C.E., are prevalent within Catholic theological tradition and are significant to martyrology and Christendom, particularly from a female perspective. </w:t>
      </w:r>
    </w:p>
    <w:p w14:paraId="44387E3C"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Why are these women so poignant within Catholic theology and tradition? Is the significance of their veneration related to the virtues they embody in their martyrdom accounts? Indeed, when their </w:t>
      </w:r>
      <w:r w:rsidRPr="00725849">
        <w:rPr>
          <w:rFonts w:ascii="Times New Roman" w:hAnsi="Times New Roman" w:cs="Times New Roman"/>
          <w:i/>
        </w:rPr>
        <w:t xml:space="preserve">acta </w:t>
      </w:r>
      <w:r w:rsidRPr="00725849">
        <w:rPr>
          <w:rFonts w:ascii="Times New Roman" w:hAnsi="Times New Roman" w:cs="Times New Roman"/>
        </w:rPr>
        <w:t xml:space="preserve">or ‘acts of the martyrs’ are retold throughout history, solidifying their significance, does it reaffirm the virtues associated with them? This essay, seeking to answer the questions, explores female martyrs within the Catholic canon as emblems of chastity through their devotion to Christ as their spouse. Their devotion has been emphasized throughout their martyrdom accounts and hagiographies. Such a symbol in its historical context demonstrates the dual sacrifice of the Christian women by clinging onto chastity as a mode of worship and devotion to Christ and sacrificing their life for their Lord. To observe the virtue of chastity, the seven women martyrs of the Catholic canon defied Roman marital tradition, sacrificed their identity as women, and sacrificed their lives in imitation of Jesus Christ.  </w:t>
      </w:r>
    </w:p>
    <w:p w14:paraId="464FA91A"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The study of martyrs has been an extant discipline since martyrdom began. Indeed, even as early as the fourth century, figures such as Eusebius, Saint Ambrose, Saint Jerome, Saint John</w:t>
      </w:r>
      <w:r w:rsidRPr="00725849">
        <w:rPr>
          <w:rFonts w:ascii="Times New Roman" w:eastAsia="Calibri" w:hAnsi="Times New Roman" w:cs="Times New Roman"/>
        </w:rPr>
        <w:t xml:space="preserve"> </w:t>
      </w:r>
    </w:p>
    <w:p w14:paraId="79171419"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 xml:space="preserve">Chrysostom, and Saint Augustine wrote about and praised martyrs. As Christianity spread and dominated Western culture, martyrology emerged as a field of study. Two main approaches to martyrology include martyrdom as impacted by ancient ideologies and martyrdom as informing </w:t>
      </w:r>
      <w:r w:rsidRPr="00725849">
        <w:rPr>
          <w:rFonts w:ascii="Times New Roman" w:hAnsi="Times New Roman" w:cs="Times New Roman"/>
        </w:rPr>
        <w:lastRenderedPageBreak/>
        <w:t>the Christian ideal self. The former interprets martyrdom considering ideologies and values of the cultures within which the martyrdoms took place and how that informs Christianity around it. The latter seeks application of an ascetic or martyred lifestyle and devotion to Christ as a Christian.</w:t>
      </w:r>
      <w:r w:rsidRPr="00725849">
        <w:rPr>
          <w:rFonts w:ascii="Times New Roman" w:hAnsi="Times New Roman" w:cs="Times New Roman"/>
          <w:vertAlign w:val="superscript"/>
        </w:rPr>
        <w:footnoteReference w:id="51"/>
      </w:r>
      <w:r w:rsidRPr="00725849">
        <w:rPr>
          <w:rFonts w:ascii="Times New Roman" w:hAnsi="Times New Roman" w:cs="Times New Roman"/>
        </w:rPr>
        <w:t xml:space="preserve">  </w:t>
      </w:r>
    </w:p>
    <w:p w14:paraId="056AF221"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One renowned martyrologist, Candida Moss, expounded upon the differing areas of martyrdom research in her book, </w:t>
      </w:r>
      <w:r w:rsidRPr="00725849">
        <w:rPr>
          <w:rFonts w:ascii="Times New Roman" w:hAnsi="Times New Roman" w:cs="Times New Roman"/>
          <w:i/>
        </w:rPr>
        <w:t>Ancient Christian Martyrdom</w:t>
      </w:r>
      <w:r w:rsidRPr="00725849">
        <w:rPr>
          <w:rFonts w:ascii="Times New Roman" w:hAnsi="Times New Roman" w:cs="Times New Roman"/>
        </w:rPr>
        <w:t>. Her argument “treats martyrdom as a set of discursive practices that shaped early Christian identities, mediated ecclesiastical and dogmatic claims, and provided meaning to the experience described by early Christians as persecution.”</w:t>
      </w:r>
      <w:r w:rsidRPr="00725849">
        <w:rPr>
          <w:rFonts w:ascii="Times New Roman" w:hAnsi="Times New Roman" w:cs="Times New Roman"/>
          <w:vertAlign w:val="superscript"/>
        </w:rPr>
        <w:footnoteReference w:id="52"/>
      </w:r>
      <w:r w:rsidRPr="00725849">
        <w:rPr>
          <w:rFonts w:ascii="Times New Roman" w:hAnsi="Times New Roman" w:cs="Times New Roman"/>
        </w:rPr>
        <w:t xml:space="preserve"> Like Moss, this research will also amalgamate two approaches to martyrology </w:t>
      </w:r>
    </w:p>
    <w:p w14:paraId="72D796CE"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 xml:space="preserve">(classical ideologies and the ideal Christian) to form a more comprehensive understanding of the Christian figures. However, the analysis will not include approaches such as the historicity of the martyrdom accounts: that is, rather than analyzing the history of the martyr, this essay seeks to understand the origins of the martyrs’ eminence.  </w:t>
      </w:r>
    </w:p>
    <w:p w14:paraId="53C14D3A" w14:textId="77777777" w:rsidR="00725849" w:rsidRPr="00725849" w:rsidRDefault="00725849" w:rsidP="00725849">
      <w:pPr>
        <w:spacing w:after="64" w:line="480" w:lineRule="auto"/>
        <w:ind w:left="-15" w:firstLine="721"/>
        <w:rPr>
          <w:rFonts w:ascii="Times New Roman" w:hAnsi="Times New Roman" w:cs="Times New Roman"/>
        </w:rPr>
      </w:pPr>
      <w:r w:rsidRPr="00725849">
        <w:rPr>
          <w:rFonts w:ascii="Times New Roman" w:hAnsi="Times New Roman" w:cs="Times New Roman"/>
        </w:rPr>
        <w:t xml:space="preserve">Historiographers, regardless of their interpretation, rely on martyrdom accounts and hagiographies as the primary sources of information on the martyrs. Additional sources address the cultural philosophies surrounding martyrdom as they depict vital elements representative of the figures they praise. The key source is Jacobus De Voragine, a medieval Latin hagiographer. The arguments of this paper will use these sources to interpret rather than refute the centrality of chastity in the remembrance of the women martyrs in the canon. Indeed, other martyrology scholars such as Gale Corrington Streete, Thomas J. Heffernan, and Ross Kraemer considered the unique position of women during the Roman Empire and persecution of Christians, </w:t>
      </w:r>
      <w:r w:rsidRPr="00725849">
        <w:rPr>
          <w:rFonts w:ascii="Times New Roman" w:hAnsi="Times New Roman" w:cs="Times New Roman"/>
        </w:rPr>
        <w:lastRenderedPageBreak/>
        <w:t xml:space="preserve">specifically apropos sainthood and the church. This work will join such scholarship in emphasizing the significance of these women who have died for their Lord. </w:t>
      </w:r>
    </w:p>
    <w:p w14:paraId="39BC9598"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One reason these virgin martyrs are still venerated today, especially within the Catholic Canon, are because of the sources about them, many of which are preserved and expounded upon because of De Voragine. Perpetua and Felicity’s account is part autobiographical and part firsthand witness.</w:t>
      </w:r>
      <w:r w:rsidRPr="00725849">
        <w:rPr>
          <w:rFonts w:ascii="Times New Roman" w:hAnsi="Times New Roman" w:cs="Times New Roman"/>
          <w:vertAlign w:val="superscript"/>
        </w:rPr>
        <w:footnoteReference w:id="53"/>
      </w:r>
      <w:r w:rsidRPr="00725849">
        <w:rPr>
          <w:rFonts w:ascii="Times New Roman" w:hAnsi="Times New Roman" w:cs="Times New Roman"/>
        </w:rPr>
        <w:t xml:space="preserve"> The account is a combination of both and includes incredible detail of the martyrdom account. Many were not so fortunate to be written down, as one scholar noted that “[o]nly Agnes, Lucy, Agatha, and Cecilia now remain in the revised Universal Roman Calendar. The cults of the rest have been quietly relegated to history because the evidence is unreliable.”</w:t>
      </w:r>
      <w:r w:rsidRPr="00725849">
        <w:rPr>
          <w:rFonts w:ascii="Times New Roman" w:hAnsi="Times New Roman" w:cs="Times New Roman"/>
          <w:vertAlign w:val="superscript"/>
        </w:rPr>
        <w:footnoteReference w:id="54"/>
      </w:r>
      <w:r w:rsidRPr="00725849">
        <w:rPr>
          <w:rFonts w:ascii="Times New Roman" w:hAnsi="Times New Roman" w:cs="Times New Roman"/>
        </w:rPr>
        <w:t xml:space="preserve"> Such evanescence is exemplified in the accounts of Lucy and Anastasia (who is included in the Eucharistic Prayer and thus included here) where the only accounts are known from De Voragine’s hagiography compilation or legend. Still, the Catholic Church’s devotion to venerating the women martyrs despite the lack of historical sources demonstrates the sincerity and honor that the Church approaches the martyrs with. It also demonstrates the significant role that martyrs play in the Church.</w:t>
      </w:r>
    </w:p>
    <w:p w14:paraId="78FBC202" w14:textId="21EE20DB" w:rsidR="00725849" w:rsidRPr="00725849" w:rsidRDefault="00725849" w:rsidP="0088747E">
      <w:pPr>
        <w:spacing w:line="480" w:lineRule="auto"/>
        <w:ind w:left="-15" w:firstLine="721"/>
        <w:rPr>
          <w:rFonts w:ascii="Times New Roman" w:hAnsi="Times New Roman" w:cs="Times New Roman"/>
        </w:rPr>
      </w:pPr>
      <w:r w:rsidRPr="00725849">
        <w:rPr>
          <w:rFonts w:ascii="Times New Roman" w:hAnsi="Times New Roman" w:cs="Times New Roman"/>
        </w:rPr>
        <w:t>The term ‘martyr’ has evolved with Christian culture. In common usage, ‘martyr’ has been understood by the Oxford English Dictionary definition as “[a] person who chooses to suffer death rather than renounce faith in Christ or obedience to his teachings, a Christian way of life, or adherence to a law or tenet of the Church.”</w:t>
      </w:r>
      <w:r w:rsidRPr="00725849">
        <w:rPr>
          <w:rFonts w:ascii="Times New Roman" w:hAnsi="Times New Roman" w:cs="Times New Roman"/>
          <w:vertAlign w:val="superscript"/>
        </w:rPr>
        <w:footnoteReference w:id="55"/>
      </w:r>
      <w:r w:rsidRPr="00725849">
        <w:rPr>
          <w:rFonts w:ascii="Times New Roman" w:hAnsi="Times New Roman" w:cs="Times New Roman"/>
        </w:rPr>
        <w:t xml:space="preserve"> Yet, that definition was shaped by the </w:t>
      </w:r>
      <w:r w:rsidRPr="00725849">
        <w:rPr>
          <w:rFonts w:ascii="Times New Roman" w:hAnsi="Times New Roman" w:cs="Times New Roman"/>
        </w:rPr>
        <w:lastRenderedPageBreak/>
        <w:t xml:space="preserve">experience of martyrs. As Moss asserted, “Originally, </w:t>
      </w:r>
      <w:r w:rsidRPr="00725849">
        <w:rPr>
          <w:rFonts w:ascii="Times New Roman" w:hAnsi="Times New Roman" w:cs="Times New Roman"/>
          <w:i/>
        </w:rPr>
        <w:t>martys</w:t>
      </w:r>
      <w:r w:rsidRPr="00725849">
        <w:rPr>
          <w:rFonts w:ascii="Times New Roman" w:hAnsi="Times New Roman" w:cs="Times New Roman"/>
        </w:rPr>
        <w:t xml:space="preserve"> referred to the testimony or witness presented by an individual in a trial setting or to the individual who affirms or attests.”</w:t>
      </w:r>
      <w:r w:rsidRPr="00725849">
        <w:rPr>
          <w:rFonts w:ascii="Times New Roman" w:hAnsi="Times New Roman" w:cs="Times New Roman"/>
          <w:vertAlign w:val="superscript"/>
        </w:rPr>
        <w:footnoteReference w:id="56"/>
      </w:r>
      <w:r w:rsidRPr="00725849">
        <w:rPr>
          <w:rFonts w:ascii="Times New Roman" w:hAnsi="Times New Roman" w:cs="Times New Roman"/>
        </w:rPr>
        <w:t xml:space="preserve"> This alternative understanding of ‘martyr’ dated back to the original Greek and the Roman solution to the growing Christian populace in the first and second centuries of the common era. The problem of Christianity threatened the Roman empire. Pliny the Younger, a governor of Bithynia during the first century, wrote to Emperor Trajan asking for official instructions for how to manage the problem. Pliny and other government officials saw Christianity as that threat and sought to restore </w:t>
      </w:r>
      <w:r w:rsidRPr="00725849">
        <w:rPr>
          <w:rFonts w:ascii="Times New Roman" w:hAnsi="Times New Roman" w:cs="Times New Roman"/>
          <w:i/>
        </w:rPr>
        <w:t xml:space="preserve">pax deorum </w:t>
      </w:r>
      <w:r w:rsidRPr="00725849">
        <w:rPr>
          <w:rFonts w:ascii="Times New Roman" w:hAnsi="Times New Roman" w:cs="Times New Roman"/>
        </w:rPr>
        <w:t>(the peace of the gods). Thus, those accused of being Christian were put on trial as criminals to plead innocent or guilty to their charge. Those who plead guilty were allowed the opportunity to recant; if they continued to adhere to Christian belief, they were condemn to death. Christians who stood trial to testify their guilt or innocence, as well as proclaim the name of God, were executed. From this, martyrdom as a concept was born, evolving with Christianity as more people were led away to be executed. Indeed, the executions of Christians became more prevalent and widespread during emperors who enacted great persecutions across the Roman empire like Nero, Diocletian, and Marcus Aurelius. It was not until Constantine issued the Edict of Milan in 313 c.e. that the Empire allowed religious toleration.</w:t>
      </w:r>
      <w:r w:rsidRPr="00725849">
        <w:rPr>
          <w:rFonts w:ascii="Times New Roman" w:hAnsi="Times New Roman" w:cs="Times New Roman"/>
          <w:vertAlign w:val="superscript"/>
        </w:rPr>
        <w:footnoteReference w:id="57"/>
      </w:r>
      <w:r w:rsidRPr="00725849">
        <w:rPr>
          <w:rFonts w:ascii="Times New Roman" w:hAnsi="Times New Roman" w:cs="Times New Roman"/>
        </w:rPr>
        <w:t xml:space="preserve"> It was in this context that these women, celebrated in the Catholic Church, were martyred.  </w:t>
      </w:r>
    </w:p>
    <w:p w14:paraId="6D4EC700"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The women martyrs exemplified chastity and all excepting Felicity and Perpetua were virgins. Chastity, as Bonnie Lander Johnson articulated, “was a state, both spiritual and </w:t>
      </w:r>
      <w:r w:rsidRPr="00725849">
        <w:rPr>
          <w:rFonts w:ascii="Times New Roman" w:hAnsi="Times New Roman" w:cs="Times New Roman"/>
        </w:rPr>
        <w:lastRenderedPageBreak/>
        <w:t>psychological, that could be observed through all stages of a person’s adult life.”</w:t>
      </w:r>
      <w:r w:rsidRPr="00725849">
        <w:rPr>
          <w:rFonts w:ascii="Times New Roman" w:hAnsi="Times New Roman" w:cs="Times New Roman"/>
          <w:vertAlign w:val="superscript"/>
        </w:rPr>
        <w:footnoteReference w:id="58"/>
      </w:r>
      <w:r w:rsidRPr="00725849">
        <w:rPr>
          <w:rFonts w:ascii="Times New Roman" w:hAnsi="Times New Roman" w:cs="Times New Roman"/>
        </w:rPr>
        <w:t xml:space="preserve"> While chastity could be observed by those who were not virgins, the women martyrs of the canon were indeed both chaste and virgin (excepting Perpetua and Felicity, who, it was argued, was spiritually virgin </w:t>
      </w:r>
      <w:r w:rsidRPr="00725849">
        <w:rPr>
          <w:rFonts w:ascii="Times New Roman" w:eastAsia="Calibri" w:hAnsi="Times New Roman" w:cs="Times New Roman"/>
        </w:rPr>
        <w:t xml:space="preserve"> </w:t>
      </w:r>
    </w:p>
    <w:p w14:paraId="02354A02" w14:textId="77777777" w:rsidR="00725849" w:rsidRPr="00725849" w:rsidRDefault="00725849" w:rsidP="00725849">
      <w:pPr>
        <w:spacing w:line="480" w:lineRule="auto"/>
        <w:rPr>
          <w:rFonts w:ascii="Times New Roman" w:hAnsi="Times New Roman" w:cs="Times New Roman"/>
        </w:rPr>
      </w:pPr>
      <w:r w:rsidRPr="00725849">
        <w:rPr>
          <w:rFonts w:ascii="Times New Roman" w:hAnsi="Times New Roman" w:cs="Times New Roman"/>
        </w:rPr>
        <w:t>and chaste).</w:t>
      </w:r>
      <w:r w:rsidRPr="00725849">
        <w:rPr>
          <w:rFonts w:ascii="Times New Roman" w:hAnsi="Times New Roman" w:cs="Times New Roman"/>
          <w:vertAlign w:val="superscript"/>
        </w:rPr>
        <w:footnoteReference w:id="59"/>
      </w:r>
      <w:r w:rsidRPr="00725849">
        <w:rPr>
          <w:rFonts w:ascii="Times New Roman" w:hAnsi="Times New Roman" w:cs="Times New Roman"/>
        </w:rPr>
        <w:t xml:space="preserve"> Indeed, Saint Ambrose expounded on the topic of virginity in his work, </w:t>
      </w:r>
      <w:r w:rsidRPr="00725849">
        <w:rPr>
          <w:rFonts w:ascii="Times New Roman" w:hAnsi="Times New Roman" w:cs="Times New Roman"/>
          <w:i/>
        </w:rPr>
        <w:t>On Virginity</w:t>
      </w:r>
      <w:r w:rsidRPr="00725849">
        <w:rPr>
          <w:rFonts w:ascii="Times New Roman" w:hAnsi="Times New Roman" w:cs="Times New Roman"/>
        </w:rPr>
        <w:t>, where he provides exemplars of virgin women to imitate. He began with the Virgin Mary as an exemplar, calling all virgins to imitate her, for “What is greater than the</w:t>
      </w:r>
      <w:hyperlink r:id="rId22">
        <w:r w:rsidRPr="00725849">
          <w:rPr>
            <w:rFonts w:ascii="Times New Roman" w:hAnsi="Times New Roman" w:cs="Times New Roman"/>
          </w:rPr>
          <w:t xml:space="preserve"> </w:t>
        </w:r>
      </w:hyperlink>
      <w:hyperlink r:id="rId23">
        <w:r w:rsidRPr="00725849">
          <w:rPr>
            <w:rFonts w:ascii="Times New Roman" w:hAnsi="Times New Roman" w:cs="Times New Roman"/>
          </w:rPr>
          <w:t>Mother of God?</w:t>
        </w:r>
      </w:hyperlink>
      <w:r w:rsidRPr="00725849">
        <w:rPr>
          <w:rFonts w:ascii="Times New Roman" w:hAnsi="Times New Roman" w:cs="Times New Roman"/>
        </w:rPr>
        <w:t xml:space="preserve"> What more</w:t>
      </w:r>
      <w:hyperlink r:id="rId24">
        <w:r w:rsidRPr="00725849">
          <w:rPr>
            <w:rFonts w:ascii="Times New Roman" w:hAnsi="Times New Roman" w:cs="Times New Roman"/>
          </w:rPr>
          <w:t xml:space="preserve"> </w:t>
        </w:r>
      </w:hyperlink>
      <w:hyperlink r:id="rId25">
        <w:r w:rsidRPr="00725849">
          <w:rPr>
            <w:rFonts w:ascii="Times New Roman" w:hAnsi="Times New Roman" w:cs="Times New Roman"/>
          </w:rPr>
          <w:t>glorious</w:t>
        </w:r>
      </w:hyperlink>
      <w:hyperlink r:id="rId26">
        <w:r w:rsidRPr="00725849">
          <w:rPr>
            <w:rFonts w:ascii="Times New Roman" w:hAnsi="Times New Roman" w:cs="Times New Roman"/>
          </w:rPr>
          <w:t xml:space="preserve"> </w:t>
        </w:r>
      </w:hyperlink>
      <w:r w:rsidRPr="00725849">
        <w:rPr>
          <w:rFonts w:ascii="Times New Roman" w:hAnsi="Times New Roman" w:cs="Times New Roman"/>
        </w:rPr>
        <w:t>than she whom Glory Itself chose?”</w:t>
      </w:r>
      <w:r w:rsidRPr="00725849">
        <w:rPr>
          <w:rFonts w:ascii="Times New Roman" w:hAnsi="Times New Roman" w:cs="Times New Roman"/>
          <w:vertAlign w:val="superscript"/>
        </w:rPr>
        <w:footnoteReference w:id="60"/>
      </w:r>
      <w:r w:rsidRPr="00725849">
        <w:rPr>
          <w:rFonts w:ascii="Times New Roman" w:hAnsi="Times New Roman" w:cs="Times New Roman"/>
        </w:rPr>
        <w:t xml:space="preserve"> He also lifted Saint Agnes up for veneration, positing that “[i]n devotion beyond her age, in</w:t>
      </w:r>
      <w:hyperlink r:id="rId27">
        <w:r w:rsidRPr="00725849">
          <w:rPr>
            <w:rFonts w:ascii="Times New Roman" w:hAnsi="Times New Roman" w:cs="Times New Roman"/>
          </w:rPr>
          <w:t xml:space="preserve"> </w:t>
        </w:r>
      </w:hyperlink>
      <w:hyperlink r:id="rId28">
        <w:r w:rsidRPr="00725849">
          <w:rPr>
            <w:rFonts w:ascii="Times New Roman" w:hAnsi="Times New Roman" w:cs="Times New Roman"/>
          </w:rPr>
          <w:t>virtue</w:t>
        </w:r>
      </w:hyperlink>
      <w:hyperlink r:id="rId29">
        <w:r w:rsidRPr="00725849">
          <w:rPr>
            <w:rFonts w:ascii="Times New Roman" w:hAnsi="Times New Roman" w:cs="Times New Roman"/>
          </w:rPr>
          <w:t xml:space="preserve"> </w:t>
        </w:r>
      </w:hyperlink>
      <w:r w:rsidRPr="00725849">
        <w:rPr>
          <w:rFonts w:ascii="Times New Roman" w:hAnsi="Times New Roman" w:cs="Times New Roman"/>
        </w:rPr>
        <w:t>above nature, she seems to me to have borne not so much a</w:t>
      </w:r>
      <w:hyperlink r:id="rId30">
        <w:r w:rsidRPr="00725849">
          <w:rPr>
            <w:rFonts w:ascii="Times New Roman" w:hAnsi="Times New Roman" w:cs="Times New Roman"/>
          </w:rPr>
          <w:t xml:space="preserve"> </w:t>
        </w:r>
      </w:hyperlink>
      <w:hyperlink r:id="rId31">
        <w:r w:rsidRPr="00725849">
          <w:rPr>
            <w:rFonts w:ascii="Times New Roman" w:hAnsi="Times New Roman" w:cs="Times New Roman"/>
          </w:rPr>
          <w:t>human</w:t>
        </w:r>
      </w:hyperlink>
      <w:hyperlink r:id="rId32">
        <w:r w:rsidRPr="00725849">
          <w:rPr>
            <w:rFonts w:ascii="Times New Roman" w:hAnsi="Times New Roman" w:cs="Times New Roman"/>
          </w:rPr>
          <w:t xml:space="preserve"> </w:t>
        </w:r>
      </w:hyperlink>
      <w:r w:rsidRPr="00725849">
        <w:rPr>
          <w:rFonts w:ascii="Times New Roman" w:hAnsi="Times New Roman" w:cs="Times New Roman"/>
        </w:rPr>
        <w:t>name, as a token of</w:t>
      </w:r>
      <w:hyperlink r:id="rId33">
        <w:r w:rsidRPr="00725849">
          <w:rPr>
            <w:rFonts w:ascii="Times New Roman" w:hAnsi="Times New Roman" w:cs="Times New Roman"/>
          </w:rPr>
          <w:t xml:space="preserve"> </w:t>
        </w:r>
      </w:hyperlink>
      <w:hyperlink r:id="rId34">
        <w:r w:rsidRPr="00725849">
          <w:rPr>
            <w:rFonts w:ascii="Times New Roman" w:hAnsi="Times New Roman" w:cs="Times New Roman"/>
          </w:rPr>
          <w:t>martyrdom,</w:t>
        </w:r>
      </w:hyperlink>
      <w:r w:rsidRPr="00725849">
        <w:rPr>
          <w:rFonts w:ascii="Times New Roman" w:hAnsi="Times New Roman" w:cs="Times New Roman"/>
        </w:rPr>
        <w:t xml:space="preserve"> whereby she showed what she was to be.”</w:t>
      </w:r>
      <w:r w:rsidRPr="00725849">
        <w:rPr>
          <w:rFonts w:ascii="Times New Roman" w:hAnsi="Times New Roman" w:cs="Times New Roman"/>
          <w:vertAlign w:val="superscript"/>
        </w:rPr>
        <w:t>13</w:t>
      </w:r>
      <w:r w:rsidRPr="00725849">
        <w:rPr>
          <w:rFonts w:ascii="Times New Roman" w:hAnsi="Times New Roman" w:cs="Times New Roman"/>
        </w:rPr>
        <w:t xml:space="preserve"> Saint Agnes’s veneration influenced the way that other hagiographers talked about her and about all the virgin saints. Jacobus De Voragine copied his description of Agnes from Ambrose, and many other scholars who compile hagiographic accounts rely on De Voragine. When one begins to venerate, others follow suit. Thus, when Ambrose wrote about Agnes or when Augustine wrote a sermon on Perpetua and Felicity praising them and their sacrifice, others picked up the sentiment. </w:t>
      </w:r>
    </w:p>
    <w:p w14:paraId="259A3E54" w14:textId="39F8DFA7" w:rsidR="00725849" w:rsidRPr="00725849" w:rsidRDefault="00725849" w:rsidP="0088747E">
      <w:pPr>
        <w:spacing w:after="107" w:line="480" w:lineRule="auto"/>
        <w:ind w:left="-15" w:firstLine="721"/>
        <w:rPr>
          <w:rFonts w:ascii="Times New Roman" w:hAnsi="Times New Roman" w:cs="Times New Roman"/>
        </w:rPr>
      </w:pPr>
      <w:r w:rsidRPr="00725849">
        <w:rPr>
          <w:rFonts w:ascii="Times New Roman" w:hAnsi="Times New Roman" w:cs="Times New Roman"/>
        </w:rPr>
        <w:t xml:space="preserve">From a cultural perspective, chastity was only a female Christian virtue, not a Roman or even a male Christian virtue. Rather, chastity was the only avenue that women could spiritually connect with God. Scholar Thomas J. Heffernan posited that “the theology of virginity which </w:t>
      </w:r>
      <w:r w:rsidRPr="00725849">
        <w:rPr>
          <w:rFonts w:ascii="Times New Roman" w:hAnsi="Times New Roman" w:cs="Times New Roman"/>
        </w:rPr>
        <w:lastRenderedPageBreak/>
        <w:t>developed from consideration of passages such as that from Luke extolled the female celibate’s humility, her charismatic witness, and her martyrdom of the spirit.”</w:t>
      </w:r>
      <w:r w:rsidRPr="00725849">
        <w:rPr>
          <w:rFonts w:ascii="Times New Roman" w:hAnsi="Times New Roman" w:cs="Times New Roman"/>
          <w:vertAlign w:val="superscript"/>
        </w:rPr>
        <w:footnoteReference w:id="61"/>
      </w:r>
      <w:r w:rsidRPr="00725849">
        <w:rPr>
          <w:rFonts w:ascii="Times New Roman" w:hAnsi="Times New Roman" w:cs="Times New Roman"/>
        </w:rPr>
        <w:t xml:space="preserve"> Thus, a woman, to serve God over man, clung to chastity since through that virtue, she could cleave to Christ as her husband. Indeed, it was this same idea that the seven women martyrs exemplified. In doing so, the women martyrs sacrificed threefold: the defying Roman cultural ideals and sacrificing her identity as a woman, and ultimately sacrificing her life in the imitation of Jesus Christ. </w:t>
      </w:r>
    </w:p>
    <w:p w14:paraId="1BF26973" w14:textId="57ED6F26" w:rsidR="00725849" w:rsidRPr="00725849" w:rsidRDefault="00725849" w:rsidP="0098539D">
      <w:pPr>
        <w:spacing w:after="37" w:line="480" w:lineRule="auto"/>
        <w:ind w:left="-15" w:firstLine="721"/>
        <w:rPr>
          <w:rFonts w:ascii="Times New Roman" w:hAnsi="Times New Roman" w:cs="Times New Roman"/>
        </w:rPr>
      </w:pPr>
      <w:r w:rsidRPr="00725849">
        <w:rPr>
          <w:rFonts w:ascii="Times New Roman" w:hAnsi="Times New Roman" w:cs="Times New Roman"/>
        </w:rPr>
        <w:t>First, women martyrs in the Catholic Canon defied Roman marital ideals to cling to chastity. In the Roman context, “a daughter was destined to marry; to die a virgin was to die having only half lived.”</w:t>
      </w:r>
      <w:r w:rsidRPr="00725849">
        <w:rPr>
          <w:rFonts w:ascii="Times New Roman" w:hAnsi="Times New Roman" w:cs="Times New Roman"/>
          <w:vertAlign w:val="superscript"/>
        </w:rPr>
        <w:footnoteReference w:id="62"/>
      </w:r>
      <w:r w:rsidRPr="00725849">
        <w:rPr>
          <w:rFonts w:ascii="Times New Roman" w:hAnsi="Times New Roman" w:cs="Times New Roman"/>
        </w:rPr>
        <w:t xml:space="preserve"> Many daughters were betrothed or wed by the time they became a teenager and “marriage was a passage from childhood to adulthood.”</w:t>
      </w:r>
      <w:r w:rsidRPr="00725849">
        <w:rPr>
          <w:rFonts w:ascii="Times New Roman" w:hAnsi="Times New Roman" w:cs="Times New Roman"/>
          <w:vertAlign w:val="superscript"/>
        </w:rPr>
        <w:footnoteReference w:id="63"/>
      </w:r>
      <w:r w:rsidRPr="00725849">
        <w:rPr>
          <w:rFonts w:ascii="Times New Roman" w:hAnsi="Times New Roman" w:cs="Times New Roman"/>
        </w:rPr>
        <w:t xml:space="preserve">  This is evident in the narrative of Saint Agnes who admirably clung to her chastity as a mode of devotion to God. Indeed, both Saint Ambrose and De Voragine call her “a virgin most sensible and wise.”</w:t>
      </w:r>
      <w:r w:rsidRPr="00725849">
        <w:rPr>
          <w:rFonts w:ascii="Times New Roman" w:hAnsi="Times New Roman" w:cs="Times New Roman"/>
          <w:vertAlign w:val="superscript"/>
        </w:rPr>
        <w:footnoteReference w:id="64"/>
      </w:r>
      <w:r w:rsidRPr="00725849">
        <w:rPr>
          <w:rFonts w:ascii="Times New Roman" w:hAnsi="Times New Roman" w:cs="Times New Roman"/>
        </w:rPr>
        <w:t xml:space="preserve"> A young boy was determined to marry Agnes, yet she refused. Agnes cried, “I am already pledged to another lover! … the one I love is far nobler than you, of more eminent descent…his love is chastity itself, his touch holiness, union with him, virginity.”</w:t>
      </w:r>
      <w:r w:rsidRPr="00725849">
        <w:rPr>
          <w:rStyle w:val="FootnoteReference"/>
          <w:rFonts w:ascii="Times New Roman" w:hAnsi="Times New Roman" w:cs="Times New Roman"/>
        </w:rPr>
        <w:footnoteReference w:id="65"/>
      </w:r>
      <w:r w:rsidRPr="00725849">
        <w:rPr>
          <w:rFonts w:ascii="Times New Roman" w:hAnsi="Times New Roman" w:cs="Times New Roman"/>
        </w:rPr>
        <w:t xml:space="preserve"> Her devotion to her Lord led her to refuse the boy and claim, “Already his chaste embraces hold me close, he has united his body to mine…”</w:t>
      </w:r>
      <w:r w:rsidRPr="00725849">
        <w:rPr>
          <w:rStyle w:val="FootnoteReference"/>
          <w:rFonts w:ascii="Times New Roman" w:hAnsi="Times New Roman" w:cs="Times New Roman"/>
        </w:rPr>
        <w:footnoteReference w:id="66"/>
      </w:r>
      <w:r w:rsidRPr="00725849">
        <w:rPr>
          <w:rFonts w:ascii="Times New Roman" w:hAnsi="Times New Roman" w:cs="Times New Roman"/>
        </w:rPr>
        <w:t xml:space="preserve"> When the boy’s father brought her in front of the Roman prefect, the latter </w:t>
      </w:r>
      <w:r w:rsidRPr="00725849">
        <w:rPr>
          <w:rFonts w:ascii="Times New Roman" w:hAnsi="Times New Roman" w:cs="Times New Roman"/>
        </w:rPr>
        <w:lastRenderedPageBreak/>
        <w:t xml:space="preserve">threatened Agnes with either sacrificing to the goddess of virginity or being forced to become a harlot. </w:t>
      </w:r>
    </w:p>
    <w:p w14:paraId="3DC40F02" w14:textId="77777777" w:rsidR="00725849" w:rsidRPr="00725849" w:rsidRDefault="00725849" w:rsidP="00725849">
      <w:pPr>
        <w:spacing w:after="43" w:line="480" w:lineRule="auto"/>
        <w:ind w:left="-15" w:firstLine="721"/>
        <w:rPr>
          <w:rFonts w:ascii="Times New Roman" w:hAnsi="Times New Roman" w:cs="Times New Roman"/>
        </w:rPr>
      </w:pPr>
      <w:r w:rsidRPr="00725849">
        <w:rPr>
          <w:rFonts w:ascii="Times New Roman" w:hAnsi="Times New Roman" w:cs="Times New Roman"/>
        </w:rPr>
        <w:t>Marriage was also an economic proposition, wherein alliances between families were made and wealth attracted more suitors.</w:t>
      </w:r>
      <w:r w:rsidRPr="00725849">
        <w:rPr>
          <w:rStyle w:val="FootnoteReference"/>
          <w:rFonts w:ascii="Times New Roman" w:hAnsi="Times New Roman" w:cs="Times New Roman"/>
        </w:rPr>
        <w:footnoteReference w:id="67"/>
      </w:r>
      <w:r w:rsidRPr="00725849">
        <w:rPr>
          <w:rFonts w:ascii="Times New Roman" w:hAnsi="Times New Roman" w:cs="Times New Roman"/>
        </w:rPr>
        <w:t xml:space="preserve"> The story of Saint Agatha illustrated such a proposition. </w:t>
      </w:r>
    </w:p>
    <w:p w14:paraId="25809C57"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Hagiographer Jacobus De Voragine introduced Agatha as “The virgin Agatha…” and recounted her story.</w:t>
      </w:r>
      <w:r w:rsidRPr="00725849">
        <w:rPr>
          <w:rStyle w:val="FootnoteReference"/>
          <w:rFonts w:ascii="Times New Roman" w:hAnsi="Times New Roman" w:cs="Times New Roman"/>
        </w:rPr>
        <w:footnoteReference w:id="68"/>
      </w:r>
      <w:r w:rsidRPr="00725849">
        <w:rPr>
          <w:rFonts w:ascii="Times New Roman" w:hAnsi="Times New Roman" w:cs="Times New Roman"/>
        </w:rPr>
        <w:t xml:space="preserve"> “Quintianus, the consular official in Sicily” sought to marry Agatha for his own financial advantage.</w:t>
      </w:r>
      <w:r w:rsidRPr="00725849">
        <w:rPr>
          <w:rFonts w:ascii="Times New Roman" w:hAnsi="Times New Roman" w:cs="Times New Roman"/>
          <w:vertAlign w:val="superscript"/>
        </w:rPr>
        <w:footnoteReference w:id="69"/>
      </w:r>
      <w:r w:rsidRPr="00725849">
        <w:rPr>
          <w:rFonts w:ascii="Times New Roman" w:hAnsi="Times New Roman" w:cs="Times New Roman"/>
        </w:rPr>
        <w:t xml:space="preserve"> When she refused to marry him because of her “Christian intention,” he ordered her to be cruelly tortured, and her breasts cut off. At this, Agatha cried, “Impious, cruel, brutal tyrant, are you not ashamed to cut off from a woman that which your mother suckled you with? In my soul I have breasts untouched and unharmed, with which I nourish all my senses, having consecrated them to the Lord from infancy.”</w:t>
      </w:r>
      <w:r w:rsidRPr="00725849">
        <w:rPr>
          <w:rFonts w:ascii="Times New Roman" w:hAnsi="Times New Roman" w:cs="Times New Roman"/>
          <w:vertAlign w:val="superscript"/>
        </w:rPr>
        <w:t>22</w:t>
      </w:r>
      <w:r w:rsidRPr="00725849">
        <w:rPr>
          <w:rFonts w:ascii="Times New Roman" w:hAnsi="Times New Roman" w:cs="Times New Roman"/>
        </w:rPr>
        <w:t xml:space="preserve"> Imprisoned, Agatha was healed by Saint Peter who visited her in jail. Agatha, who is always depicted in imagery displaying her breasts, demonstrated chastity despite the social and cultural privilege that came with her marrying Quintianus.  </w:t>
      </w:r>
    </w:p>
    <w:p w14:paraId="11897AAE" w14:textId="66A85A5F" w:rsidR="00725849" w:rsidRPr="00725849" w:rsidRDefault="00725849" w:rsidP="0098539D">
      <w:pPr>
        <w:spacing w:line="480" w:lineRule="auto"/>
        <w:ind w:left="-15" w:firstLine="721"/>
        <w:rPr>
          <w:rFonts w:ascii="Times New Roman" w:hAnsi="Times New Roman" w:cs="Times New Roman"/>
        </w:rPr>
      </w:pPr>
      <w:r w:rsidRPr="00725849">
        <w:rPr>
          <w:rFonts w:ascii="Times New Roman" w:hAnsi="Times New Roman" w:cs="Times New Roman"/>
        </w:rPr>
        <w:t>Marriage, in the Roman context, was also a display of control or authority. As scholar Lynn Cohick argued, “when a daughter married, her father (or male relatives) retained control or authority…over her.”</w:t>
      </w:r>
      <w:r w:rsidRPr="00725849">
        <w:rPr>
          <w:rFonts w:ascii="Times New Roman" w:hAnsi="Times New Roman" w:cs="Times New Roman"/>
          <w:vertAlign w:val="superscript"/>
        </w:rPr>
        <w:t>24</w:t>
      </w:r>
      <w:r w:rsidRPr="00725849">
        <w:rPr>
          <w:rFonts w:ascii="Times New Roman" w:hAnsi="Times New Roman" w:cs="Times New Roman"/>
        </w:rPr>
        <w:t xml:space="preserve"> Indeed, the father had authority to give his daughter in marriage as well as to end his daughter’s marriage if he saw it necessary.</w:t>
      </w:r>
      <w:r w:rsidRPr="00725849">
        <w:rPr>
          <w:rFonts w:ascii="Times New Roman" w:hAnsi="Times New Roman" w:cs="Times New Roman"/>
          <w:vertAlign w:val="superscript"/>
        </w:rPr>
        <w:t>25</w:t>
      </w:r>
      <w:r w:rsidRPr="00725849">
        <w:rPr>
          <w:rFonts w:ascii="Times New Roman" w:hAnsi="Times New Roman" w:cs="Times New Roman"/>
        </w:rPr>
        <w:t xml:space="preserve"> Saint Anastasia was an excellent example of defying marriage traditions for her faith. De Voragine wrote that “given in marriage </w:t>
      </w:r>
      <w:r w:rsidRPr="00725849">
        <w:rPr>
          <w:rFonts w:ascii="Times New Roman" w:hAnsi="Times New Roman" w:cs="Times New Roman"/>
        </w:rPr>
        <w:lastRenderedPageBreak/>
        <w:t>against her will to a young man named Publius, she feigned an enfeebling sickness and kept herself apart from him.”</w:t>
      </w:r>
      <w:r w:rsidRPr="00725849">
        <w:rPr>
          <w:rFonts w:ascii="Times New Roman" w:hAnsi="Times New Roman" w:cs="Times New Roman"/>
          <w:vertAlign w:val="superscript"/>
        </w:rPr>
        <w:footnoteReference w:id="70"/>
      </w:r>
      <w:r w:rsidRPr="00725849">
        <w:rPr>
          <w:rFonts w:ascii="Times New Roman" w:hAnsi="Times New Roman" w:cs="Times New Roman"/>
        </w:rPr>
        <w:t xml:space="preserve"> Her husband, upon finding out that she lied to him about her sickness, locked her away in her room to die. And yet, her husband died before she did. A prefect set his gaze upon Anastasia’s three virgin Christian servants, Agapete, Theonia, and Irene. However, his advances resulted in him satisfying himself with the kitchen utensils and equipment which led him to be beaten and scorned by the villagers who did not recognize him, for he was covered in soot and the villagers’ eyes were blind to who he truly was. Anastasia herself refused to marry two other prefects who failed in their attempts to persuade her to recant. She was imprisoned where Saint Theodora, who had already been crowned with martyrdom, fed her “food from heaven.”</w:t>
      </w:r>
      <w:r w:rsidRPr="00725849">
        <w:rPr>
          <w:rFonts w:ascii="Times New Roman" w:hAnsi="Times New Roman" w:cs="Times New Roman"/>
          <w:vertAlign w:val="superscript"/>
        </w:rPr>
        <w:footnoteReference w:id="71"/>
      </w:r>
      <w:r w:rsidRPr="00725849">
        <w:rPr>
          <w:rFonts w:ascii="Times New Roman" w:hAnsi="Times New Roman" w:cs="Times New Roman"/>
        </w:rPr>
        <w:t xml:space="preserve">Although Saint Anastasia was forced into marriage, she controlled such a marriage through clinging to chastity. </w:t>
      </w:r>
    </w:p>
    <w:p w14:paraId="03FA25BC" w14:textId="60FD0B53"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St. Augustine reprimanded a wife whose husband and herself lived in “a spiritual marriage instead of a carnal one.”</w:t>
      </w:r>
      <w:r w:rsidRPr="00725849">
        <w:rPr>
          <w:rFonts w:ascii="Times New Roman" w:hAnsi="Times New Roman" w:cs="Times New Roman"/>
          <w:vertAlign w:val="superscript"/>
        </w:rPr>
        <w:footnoteReference w:id="72"/>
      </w:r>
      <w:r w:rsidRPr="00725849">
        <w:rPr>
          <w:rFonts w:ascii="Times New Roman" w:hAnsi="Times New Roman" w:cs="Times New Roman"/>
        </w:rPr>
        <w:t xml:space="preserve"> And yet, the scholar Cohick articulated, for some women, especially Christian women who rejected the cultural practices of marriage, “the option of celibacy opened doors to Christian women, primarily in terms of autonomy.”</w:t>
      </w:r>
      <w:r w:rsidRPr="00725849">
        <w:rPr>
          <w:rStyle w:val="FootnoteReference"/>
          <w:rFonts w:ascii="Times New Roman" w:hAnsi="Times New Roman" w:cs="Times New Roman"/>
        </w:rPr>
        <w:footnoteReference w:id="73"/>
      </w:r>
      <w:r w:rsidRPr="00725849">
        <w:rPr>
          <w:rFonts w:ascii="Times New Roman" w:hAnsi="Times New Roman" w:cs="Times New Roman"/>
        </w:rPr>
        <w:t xml:space="preserve">  Since the daughter was dependent on her father (or male relatives) and then her husband, remaining celibate (or chaste) was a stance for autonomy and devotion to Christ.</w:t>
      </w:r>
      <w:r w:rsidRPr="00725849">
        <w:rPr>
          <w:rFonts w:ascii="Times New Roman" w:hAnsi="Times New Roman" w:cs="Times New Roman"/>
          <w:vertAlign w:val="superscript"/>
        </w:rPr>
        <w:footnoteReference w:id="74"/>
      </w:r>
      <w:r w:rsidRPr="00725849">
        <w:rPr>
          <w:rFonts w:ascii="Times New Roman" w:hAnsi="Times New Roman" w:cs="Times New Roman"/>
        </w:rPr>
        <w:t xml:space="preserve">  </w:t>
      </w:r>
    </w:p>
    <w:p w14:paraId="2E8647C8"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lastRenderedPageBreak/>
        <w:t xml:space="preserve">Perpetua was a martyr that we perhaps know the most about due to her autobiographic account. Her account portrays a combination of all the aspects of Roman marriage tradition, and even unconventional ones too. Perpetua was born into an elite family and highly educated. As </w:t>
      </w:r>
    </w:p>
    <w:p w14:paraId="707C9D1E"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Thomas Heffernan argued in his analysis of Perpetua’s account, “[t]he relationship between this father and daughter is an anomaly from the point of view of a “typical” elite roman family. Her father actually tells her at one point that he values her more than her brothers.”</w:t>
      </w:r>
      <w:r w:rsidRPr="00725849">
        <w:rPr>
          <w:rFonts w:ascii="Times New Roman" w:hAnsi="Times New Roman" w:cs="Times New Roman"/>
          <w:vertAlign w:val="superscript"/>
        </w:rPr>
        <w:footnoteReference w:id="75"/>
      </w:r>
      <w:r w:rsidRPr="00725849">
        <w:rPr>
          <w:rFonts w:ascii="Times New Roman" w:hAnsi="Times New Roman" w:cs="Times New Roman"/>
        </w:rPr>
        <w:t xml:space="preserve"> Perpetua followed her mother and brother and became a Christian, although her father remained a pagan and remained steadfast in trying to persuade Perpetua to sacrifice to </w:t>
      </w:r>
      <w:r w:rsidRPr="00725849">
        <w:rPr>
          <w:rFonts w:ascii="Times New Roman" w:eastAsia="Calibri" w:hAnsi="Times New Roman" w:cs="Times New Roman"/>
        </w:rPr>
        <w:t>the</w:t>
      </w:r>
      <w:r w:rsidRPr="00725849">
        <w:rPr>
          <w:rFonts w:ascii="Times New Roman" w:hAnsi="Times New Roman" w:cs="Times New Roman"/>
        </w:rPr>
        <w:t xml:space="preserve"> pagan gods and renounce Christianity. Her father was beaten when persuading his daughter to recant since “his behavior is so un-Roman that it embarrasse[d] the procurator Hilarianus, who, rebuking him, [struck] him with a rod.”</w:t>
      </w:r>
      <w:r w:rsidRPr="00725849">
        <w:rPr>
          <w:rFonts w:ascii="Times New Roman" w:hAnsi="Times New Roman" w:cs="Times New Roman"/>
          <w:vertAlign w:val="superscript"/>
        </w:rPr>
        <w:footnoteReference w:id="76"/>
      </w:r>
      <w:r w:rsidRPr="00725849">
        <w:rPr>
          <w:rFonts w:ascii="Times New Roman" w:hAnsi="Times New Roman" w:cs="Times New Roman"/>
        </w:rPr>
        <w:t xml:space="preserve"> However, Perpetua refused to recant and was imprisoned along with Felicity, her pregnant maidservant, and fellow Christians Revocatus, Saturnius, and Secundulus.</w:t>
      </w:r>
      <w:r w:rsidRPr="00725849">
        <w:rPr>
          <w:rFonts w:ascii="Times New Roman" w:hAnsi="Times New Roman" w:cs="Times New Roman"/>
          <w:vertAlign w:val="superscript"/>
        </w:rPr>
        <w:footnoteReference w:id="77"/>
      </w:r>
      <w:r w:rsidRPr="00725849">
        <w:rPr>
          <w:rFonts w:ascii="Times New Roman" w:hAnsi="Times New Roman" w:cs="Times New Roman"/>
        </w:rPr>
        <w:t xml:space="preserve"> </w:t>
      </w:r>
    </w:p>
    <w:p w14:paraId="77A48374"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Notably, and perplexingly to scholars, Perpetua’s father (and not her husband) played a pivotal role in her martyrdom account. As Heffernan asserted, “[if] her marriage was over at the time of the conversion to Christianity – and we do not know what her marital status was: separated, divorced, or widowed – it would have been an issue entirely between herself and her husband.”</w:t>
      </w:r>
      <w:r w:rsidRPr="00725849">
        <w:rPr>
          <w:rFonts w:ascii="Times New Roman" w:hAnsi="Times New Roman" w:cs="Times New Roman"/>
          <w:vertAlign w:val="superscript"/>
        </w:rPr>
        <w:footnoteReference w:id="78"/>
      </w:r>
      <w:r w:rsidRPr="00725849">
        <w:rPr>
          <w:rFonts w:ascii="Times New Roman" w:hAnsi="Times New Roman" w:cs="Times New Roman"/>
        </w:rPr>
        <w:t xml:space="preserve"> And indeed, it was her father who petitioned her to recant, it was her father who was </w:t>
      </w:r>
      <w:r w:rsidRPr="00725849">
        <w:rPr>
          <w:rFonts w:ascii="Times New Roman" w:hAnsi="Times New Roman" w:cs="Times New Roman"/>
        </w:rPr>
        <w:lastRenderedPageBreak/>
        <w:t>present at her public hearings, and too it was her father who took Perpetua’s son away when she refused to sacrifice to the gods. Heffernan claimed that “[neither] divorce, remarriage, nor the death of her spouse would have legally allowed her father to claim her son.”</w:t>
      </w:r>
      <w:r w:rsidRPr="00725849">
        <w:rPr>
          <w:rFonts w:ascii="Times New Roman" w:hAnsi="Times New Roman" w:cs="Times New Roman"/>
          <w:vertAlign w:val="superscript"/>
        </w:rPr>
        <w:footnoteReference w:id="79"/>
      </w:r>
      <w:r w:rsidRPr="00725849">
        <w:rPr>
          <w:rFonts w:ascii="Times New Roman" w:hAnsi="Times New Roman" w:cs="Times New Roman"/>
        </w:rPr>
        <w:t xml:space="preserve"> Thus, her father’s involvement affixed aberrant Roman standards to an already sacrificial act, causing Perpetua, in clinging to Christ, to sacrifice the privileges that came from marriage and elite status as well as her father and son’s relationships. </w:t>
      </w:r>
    </w:p>
    <w:p w14:paraId="16D9D604" w14:textId="5EFFC79A" w:rsidR="00725849" w:rsidRPr="00725849" w:rsidRDefault="00725849" w:rsidP="0098539D">
      <w:pPr>
        <w:spacing w:after="27" w:line="480" w:lineRule="auto"/>
        <w:ind w:left="-15" w:firstLine="721"/>
        <w:rPr>
          <w:rFonts w:ascii="Times New Roman" w:hAnsi="Times New Roman" w:cs="Times New Roman"/>
        </w:rPr>
      </w:pPr>
      <w:r w:rsidRPr="00725849">
        <w:rPr>
          <w:rFonts w:ascii="Times New Roman" w:hAnsi="Times New Roman" w:cs="Times New Roman"/>
        </w:rPr>
        <w:t>Although not virgins (indeed both had a child) Perpetua and Felicity are emblems of chastity.</w:t>
      </w:r>
      <w:r w:rsidRPr="00725849">
        <w:rPr>
          <w:rFonts w:ascii="Times New Roman" w:hAnsi="Times New Roman" w:cs="Times New Roman"/>
          <w:vertAlign w:val="superscript"/>
        </w:rPr>
        <w:footnoteReference w:id="80"/>
      </w:r>
      <w:r w:rsidRPr="00725849">
        <w:rPr>
          <w:rFonts w:ascii="Times New Roman" w:hAnsi="Times New Roman" w:cs="Times New Roman"/>
        </w:rPr>
        <w:t xml:space="preserve"> Heffernan claimed, “it seems eminently plausible, that Perpetua’s husband is not mentioned in the </w:t>
      </w:r>
      <w:r w:rsidRPr="00725849">
        <w:rPr>
          <w:rFonts w:ascii="Times New Roman" w:hAnsi="Times New Roman" w:cs="Times New Roman"/>
          <w:i/>
        </w:rPr>
        <w:t xml:space="preserve">Passio </w:t>
      </w:r>
      <w:r w:rsidRPr="00725849">
        <w:rPr>
          <w:rFonts w:ascii="Times New Roman" w:hAnsi="Times New Roman" w:cs="Times New Roman"/>
        </w:rPr>
        <w:t>because of the idea that following baptism the renunciation of the marriage debt was an achievement of the highest good.”</w:t>
      </w:r>
      <w:r w:rsidRPr="00725849">
        <w:rPr>
          <w:rFonts w:ascii="Times New Roman" w:hAnsi="Times New Roman" w:cs="Times New Roman"/>
          <w:vertAlign w:val="superscript"/>
        </w:rPr>
        <w:footnoteReference w:id="81"/>
      </w:r>
      <w:r w:rsidRPr="00725849">
        <w:rPr>
          <w:rFonts w:ascii="Times New Roman" w:hAnsi="Times New Roman" w:cs="Times New Roman"/>
        </w:rPr>
        <w:t xml:space="preserve"> He argued further that Perpetua, despite having a son, became chaste after her conversion and baptism and entered the arena as the innocent bride of Christ. Indeed, in her </w:t>
      </w:r>
      <w:r w:rsidRPr="00725849">
        <w:rPr>
          <w:rFonts w:ascii="Times New Roman" w:hAnsi="Times New Roman" w:cs="Times New Roman"/>
          <w:i/>
        </w:rPr>
        <w:t>acta</w:t>
      </w:r>
      <w:r w:rsidRPr="00725849">
        <w:rPr>
          <w:rFonts w:ascii="Times New Roman" w:hAnsi="Times New Roman" w:cs="Times New Roman"/>
        </w:rPr>
        <w:t>, the author writes, “Perpetua went along with shining countenance and calm step, as the beloved of God, as a wife of Christ…”</w:t>
      </w:r>
      <w:r w:rsidRPr="00725849">
        <w:rPr>
          <w:rFonts w:ascii="Times New Roman" w:hAnsi="Times New Roman" w:cs="Times New Roman"/>
          <w:vertAlign w:val="superscript"/>
        </w:rPr>
        <w:footnoteReference w:id="82"/>
      </w:r>
      <w:r w:rsidRPr="00725849">
        <w:rPr>
          <w:rFonts w:ascii="Times New Roman" w:hAnsi="Times New Roman" w:cs="Times New Roman"/>
        </w:rPr>
        <w:t xml:space="preserve"> Felicity, too, never mentions the father of her child. This too, like Perpetua, could indicate that Felicity was also a young bride of Christ. So, Perpetua clung to her Savior rather than her earthly husband, forsaking the latter for the former.  </w:t>
      </w:r>
    </w:p>
    <w:p w14:paraId="574B5302" w14:textId="31F53D44" w:rsidR="00725849" w:rsidRPr="00725849" w:rsidRDefault="00725849" w:rsidP="0098539D">
      <w:pPr>
        <w:spacing w:line="480" w:lineRule="auto"/>
        <w:ind w:left="-15" w:firstLine="721"/>
        <w:rPr>
          <w:rFonts w:ascii="Times New Roman" w:hAnsi="Times New Roman" w:cs="Times New Roman"/>
        </w:rPr>
      </w:pPr>
      <w:r w:rsidRPr="00725849">
        <w:rPr>
          <w:rFonts w:ascii="Times New Roman" w:hAnsi="Times New Roman" w:cs="Times New Roman"/>
        </w:rPr>
        <w:t>And yet, as great a sacrifice as it was, it was only the beginning of their ultimate sacrifice, imitating Christ. Indeed, by rejecting traditional Roman virtues of marriage in favor of chastity for</w:t>
      </w:r>
      <w:r w:rsidR="0098539D">
        <w:rPr>
          <w:rFonts w:ascii="Times New Roman" w:hAnsi="Times New Roman" w:cs="Times New Roman"/>
        </w:rPr>
        <w:t xml:space="preserve"> </w:t>
      </w:r>
      <w:r w:rsidRPr="00725849">
        <w:rPr>
          <w:rFonts w:ascii="Times New Roman" w:hAnsi="Times New Roman" w:cs="Times New Roman"/>
        </w:rPr>
        <w:t xml:space="preserve">Christ, they subjected themselves to Roman authority’s punitive wrath. With the threat of the </w:t>
      </w:r>
      <w:r w:rsidRPr="00725849">
        <w:rPr>
          <w:rFonts w:ascii="Times New Roman" w:hAnsi="Times New Roman" w:cs="Times New Roman"/>
        </w:rPr>
        <w:lastRenderedPageBreak/>
        <w:t xml:space="preserve">instability of the </w:t>
      </w:r>
      <w:r w:rsidRPr="00725849">
        <w:rPr>
          <w:rFonts w:ascii="Times New Roman" w:hAnsi="Times New Roman" w:cs="Times New Roman"/>
          <w:i/>
        </w:rPr>
        <w:t xml:space="preserve">pax deorum </w:t>
      </w:r>
      <w:r w:rsidRPr="00725849">
        <w:rPr>
          <w:rFonts w:ascii="Times New Roman" w:hAnsi="Times New Roman" w:cs="Times New Roman"/>
        </w:rPr>
        <w:t xml:space="preserve">because of Christianity, the Roman officials pushed the women to recant, often using violent and cruel methods to persuade them that related to their womanhood. </w:t>
      </w:r>
    </w:p>
    <w:p w14:paraId="7A4853AF" w14:textId="138654B9" w:rsidR="00725849" w:rsidRPr="00725849" w:rsidRDefault="00886260" w:rsidP="00725849">
      <w:pPr>
        <w:spacing w:after="66" w:line="480" w:lineRule="auto"/>
        <w:ind w:left="-5"/>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Second, women martyrs sacrificed their identity as women in order to adhere to chasity. </w:t>
      </w:r>
      <w:r w:rsidR="00725849" w:rsidRPr="00725849">
        <w:rPr>
          <w:rFonts w:ascii="Times New Roman" w:hAnsi="Times New Roman" w:cs="Times New Roman"/>
        </w:rPr>
        <w:t>Chastity was not a virtue that the early Church fathers endorsed. St. Jerome claimed, “as long as woman is for birth and children, she is different from men as body is from soul. But if she wishes to serve Christ more than the world, then she will cease to be a woman and will be called man.”</w:t>
      </w:r>
      <w:r w:rsidR="00725849" w:rsidRPr="00725849">
        <w:rPr>
          <w:rFonts w:ascii="Times New Roman" w:hAnsi="Times New Roman" w:cs="Times New Roman"/>
          <w:vertAlign w:val="superscript"/>
        </w:rPr>
        <w:footnoteReference w:id="83"/>
      </w:r>
      <w:r w:rsidR="00725849" w:rsidRPr="00725849">
        <w:rPr>
          <w:rFonts w:ascii="Times New Roman" w:hAnsi="Times New Roman" w:cs="Times New Roman"/>
        </w:rPr>
        <w:t xml:space="preserve"> </w:t>
      </w:r>
    </w:p>
    <w:p w14:paraId="1E6F555F" w14:textId="1114EE86"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This is most clearly depicted in Perpetua’s narrative. Imprisoned, Perpetua and Felicity and their fellow Christians awaited execution in the arena. While in prison, Perpetua had a vision wherein she was led to the amphitheater and the middle of the arena to be devoured by beasts. And yet, instead of beasts, Egyptians came against her to fight, and young men came to her assistance. The author of the account wrote, “And I was stripped naked, and I became a man.”</w:t>
      </w:r>
      <w:r w:rsidRPr="00725849">
        <w:rPr>
          <w:rFonts w:ascii="Times New Roman" w:hAnsi="Times New Roman" w:cs="Times New Roman"/>
          <w:vertAlign w:val="superscript"/>
        </w:rPr>
        <w:footnoteReference w:id="84"/>
      </w:r>
      <w:r w:rsidRPr="00725849">
        <w:rPr>
          <w:rFonts w:ascii="Times New Roman" w:hAnsi="Times New Roman" w:cs="Times New Roman"/>
        </w:rPr>
        <w:t xml:space="preserve"> Perpetua’s vision reflected the necessity and tradition of martyrs being male rather than female and thus she “became a man” as her martyrdom approached. Such a transformation echoed Jerome’s assertion of the primacy of masculinity to serve Christ. It was also realized by Heffernan who commented: </w:t>
      </w:r>
    </w:p>
    <w:p w14:paraId="302AE6A5" w14:textId="77777777" w:rsidR="00725849" w:rsidRPr="00725849" w:rsidRDefault="00725849" w:rsidP="00725849">
      <w:pPr>
        <w:spacing w:after="20" w:line="480" w:lineRule="auto"/>
        <w:ind w:left="706" w:right="1437" w:firstLine="710"/>
        <w:rPr>
          <w:rFonts w:ascii="Times New Roman" w:hAnsi="Times New Roman" w:cs="Times New Roman"/>
        </w:rPr>
      </w:pPr>
      <w:r w:rsidRPr="00725849">
        <w:rPr>
          <w:rFonts w:ascii="Times New Roman" w:hAnsi="Times New Roman" w:cs="Times New Roman"/>
        </w:rPr>
        <w:t xml:space="preserve">For the contest to be credible, for her to emerge as the champion of Christ, his </w:t>
      </w:r>
      <w:r w:rsidRPr="00725849">
        <w:rPr>
          <w:rFonts w:ascii="Times New Roman" w:hAnsi="Times New Roman" w:cs="Times New Roman"/>
          <w:i/>
        </w:rPr>
        <w:t>miles Christi</w:t>
      </w:r>
      <w:r w:rsidRPr="00725849">
        <w:rPr>
          <w:rFonts w:ascii="Times New Roman" w:hAnsi="Times New Roman" w:cs="Times New Roman"/>
        </w:rPr>
        <w:t>, she must divest herself of her femininity and take on a male persona…This gender transformation is a projection of her own unconscious desire to seek martyrdom, and as such it exhibits her social understanding that the role of the martyr requires a transformation from the traditional depiction of females as nonaggressive and domestic to one of male combativeness.</w:t>
      </w:r>
      <w:r w:rsidRPr="00725849">
        <w:rPr>
          <w:rFonts w:ascii="Times New Roman" w:hAnsi="Times New Roman" w:cs="Times New Roman"/>
          <w:vertAlign w:val="superscript"/>
        </w:rPr>
        <w:footnoteReference w:id="85"/>
      </w:r>
      <w:r w:rsidRPr="00725849">
        <w:rPr>
          <w:rFonts w:ascii="Times New Roman" w:hAnsi="Times New Roman" w:cs="Times New Roman"/>
        </w:rPr>
        <w:t xml:space="preserve"> </w:t>
      </w:r>
    </w:p>
    <w:p w14:paraId="78DF0634" w14:textId="77777777" w:rsidR="00725849" w:rsidRPr="00725849" w:rsidRDefault="00725849" w:rsidP="00725849">
      <w:pPr>
        <w:spacing w:after="23" w:line="480" w:lineRule="auto"/>
        <w:rPr>
          <w:rFonts w:ascii="Times New Roman" w:hAnsi="Times New Roman" w:cs="Times New Roman"/>
        </w:rPr>
      </w:pPr>
      <w:r w:rsidRPr="00725849">
        <w:rPr>
          <w:rFonts w:ascii="Times New Roman" w:hAnsi="Times New Roman" w:cs="Times New Roman"/>
        </w:rPr>
        <w:lastRenderedPageBreak/>
        <w:t xml:space="preserve"> </w:t>
      </w:r>
    </w:p>
    <w:p w14:paraId="1EFDF6EC"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 xml:space="preserve">Thus, women were criticized for worshiping God above all else as the scriptures say (1 Chronicles 16:25) unless they become more masculine.   </w:t>
      </w:r>
    </w:p>
    <w:p w14:paraId="0FF68325"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Indeed, modern scholarship asserted the same sentiment: women in the church who sought recognition and respect exhibited masculine traits. Scholar Johannes Vorster claimed that, if Tertullian’s assertion that “the blood of Christians is the seed” [of the Church] is true, then the female martyrs would be included. Vorster emphasized that a reinforcement of gender distinction was due to the bodily distinction between men and women, what he called the “regulatory body.”</w:t>
      </w:r>
      <w:r w:rsidRPr="00725849">
        <w:rPr>
          <w:rFonts w:ascii="Times New Roman" w:hAnsi="Times New Roman" w:cs="Times New Roman"/>
          <w:vertAlign w:val="superscript"/>
        </w:rPr>
        <w:footnoteReference w:id="86"/>
      </w:r>
      <w:r w:rsidRPr="00725849">
        <w:rPr>
          <w:rFonts w:ascii="Times New Roman" w:hAnsi="Times New Roman" w:cs="Times New Roman"/>
        </w:rPr>
        <w:t xml:space="preserve"> </w:t>
      </w:r>
    </w:p>
    <w:p w14:paraId="7F11D9E3"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He sought to demonstrate that women were used as “rhetorics of male empowerment and the emergence of early Christianity did not change or modify this engendered onslaught, but reaffirmed and entrenched Graeco-Roman values of gender.”</w:t>
      </w:r>
      <w:r w:rsidRPr="00725849">
        <w:rPr>
          <w:rFonts w:ascii="Times New Roman" w:hAnsi="Times New Roman" w:cs="Times New Roman"/>
          <w:vertAlign w:val="superscript"/>
        </w:rPr>
        <w:footnoteReference w:id="87"/>
      </w:r>
      <w:r w:rsidRPr="00725849">
        <w:rPr>
          <w:rFonts w:ascii="Times New Roman" w:hAnsi="Times New Roman" w:cs="Times New Roman"/>
        </w:rPr>
        <w:t xml:space="preserve"> Whereas men obtained glory and recognition from their deaths in the arena, women were seen as obstructing the household and thus destroying own identity.</w:t>
      </w:r>
      <w:r w:rsidRPr="00725849">
        <w:rPr>
          <w:rStyle w:val="FootnoteReference"/>
          <w:rFonts w:ascii="Times New Roman" w:hAnsi="Times New Roman" w:cs="Times New Roman"/>
        </w:rPr>
        <w:footnoteReference w:id="88"/>
      </w:r>
      <w:r w:rsidRPr="00725849">
        <w:rPr>
          <w:rFonts w:ascii="Times New Roman" w:hAnsi="Times New Roman" w:cs="Times New Roman"/>
        </w:rPr>
        <w:t xml:space="preserve"> This dichotomy informed Vorster’s primary focus: despite enduring unspeakable pain, the hagiographies of women, mostly written by men, incorporated the language and imagery of masculinity as the only avenue that women could live a lift dedicated to God.</w:t>
      </w:r>
      <w:r w:rsidRPr="00725849">
        <w:rPr>
          <w:rFonts w:ascii="Times New Roman" w:hAnsi="Times New Roman" w:cs="Times New Roman"/>
          <w:vertAlign w:val="superscript"/>
        </w:rPr>
        <w:footnoteReference w:id="89"/>
      </w:r>
      <w:r w:rsidRPr="00725849">
        <w:rPr>
          <w:rFonts w:ascii="Times New Roman" w:hAnsi="Times New Roman" w:cs="Times New Roman"/>
        </w:rPr>
        <w:t xml:space="preserve">  </w:t>
      </w:r>
      <w:r w:rsidRPr="00725849">
        <w:rPr>
          <w:rFonts w:ascii="Times New Roman" w:eastAsia="Calibri" w:hAnsi="Times New Roman" w:cs="Times New Roman"/>
        </w:rPr>
        <w:t xml:space="preserve"> </w:t>
      </w:r>
    </w:p>
    <w:p w14:paraId="6AE0C330"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The sacrifice of the female identity, however, was not restricted to becoming masculine. It was also sacrificed by being taken to immoral places where their sexuality and reputation were </w:t>
      </w:r>
      <w:r w:rsidRPr="00725849">
        <w:rPr>
          <w:rFonts w:ascii="Times New Roman" w:hAnsi="Times New Roman" w:cs="Times New Roman"/>
        </w:rPr>
        <w:lastRenderedPageBreak/>
        <w:t>ruined: prostitution in brothels. Agnes refused to sacrifice to the pagan gods and was taken down to the brothel where she was stripped. Yet God grew her hair long and covered her with it, placed an angel radiating shining light to protect her, and the brothel became a house of prayer. When the prefect’s son and his comrades attempted to abuse her chastity, his comrades fled in fear of the light and the light overcame him and he was taken by the devil and killed. His father asked Agnes to resurrect him, which she did through the power of God.</w:t>
      </w:r>
      <w:r w:rsidRPr="00725849">
        <w:rPr>
          <w:rFonts w:ascii="Times New Roman" w:hAnsi="Times New Roman" w:cs="Times New Roman"/>
          <w:vertAlign w:val="superscript"/>
        </w:rPr>
        <w:footnoteReference w:id="90"/>
      </w:r>
      <w:r w:rsidRPr="00725849">
        <w:rPr>
          <w:rFonts w:ascii="Times New Roman" w:hAnsi="Times New Roman" w:cs="Times New Roman"/>
        </w:rPr>
        <w:t xml:space="preserve"> Agnes’ devotion to her chastity, and to her relationship with God, protected her from the shame of nakedness and defilement, turned a brothel into a house dedicated to prayer, and raised a boy to life.  </w:t>
      </w:r>
    </w:p>
    <w:p w14:paraId="4BACEDAA" w14:textId="77777777" w:rsidR="00725849" w:rsidRPr="00725849" w:rsidRDefault="00725849" w:rsidP="00725849">
      <w:pPr>
        <w:spacing w:line="480" w:lineRule="auto"/>
        <w:ind w:firstLine="721"/>
        <w:rPr>
          <w:rFonts w:ascii="Times New Roman" w:hAnsi="Times New Roman" w:cs="Times New Roman"/>
        </w:rPr>
      </w:pPr>
      <w:r w:rsidRPr="00725849">
        <w:rPr>
          <w:rFonts w:ascii="Times New Roman" w:hAnsi="Times New Roman" w:cs="Times New Roman"/>
        </w:rPr>
        <w:t>Like Agnes, Lucy was also threatened with being taken to a brothel if she refused to give up her chastity. De Voragine introduced Lucy in her hagiography by saying, “Thus we are shown that the blessed virgin Lucy possessed the beauty of virginity without trace of corruption…”</w:t>
      </w:r>
      <w:r w:rsidRPr="00725849">
        <w:rPr>
          <w:rFonts w:ascii="Times New Roman" w:hAnsi="Times New Roman" w:cs="Times New Roman"/>
          <w:vertAlign w:val="superscript"/>
        </w:rPr>
        <w:footnoteReference w:id="91"/>
      </w:r>
      <w:r w:rsidRPr="00725849">
        <w:rPr>
          <w:rFonts w:ascii="Times New Roman" w:hAnsi="Times New Roman" w:cs="Times New Roman"/>
        </w:rPr>
        <w:t xml:space="preserve"> Lucy and her mother visited the tomb of Saint Agatha and there her mother was healed of a blood disease. Saint Agatha visited Lucy in a dream and addressed her as “My sister Lucy, virgin consecrated to God.”</w:t>
      </w:r>
      <w:r w:rsidRPr="00725849">
        <w:rPr>
          <w:rFonts w:ascii="Times New Roman" w:hAnsi="Times New Roman" w:cs="Times New Roman"/>
          <w:vertAlign w:val="superscript"/>
        </w:rPr>
        <w:footnoteReference w:id="92"/>
      </w:r>
      <w:r w:rsidRPr="00725849">
        <w:rPr>
          <w:rFonts w:ascii="Times New Roman" w:hAnsi="Times New Roman" w:cs="Times New Roman"/>
        </w:rPr>
        <w:t xml:space="preserve"> Her betrothed accused her of being a Christian. She was commanded to sacrifice to the pagan gods and when she refused, she was reprimanded by the official and threatened to be taken to a brothel, although she refused and stood rooted to the ground. She replied, “The body is not defiled…unless the mind consents. If you have me ravished against my will, my chastity will be </w:t>
      </w:r>
      <w:bookmarkStart w:id="0" w:name="_Int_rQfmntkO"/>
      <w:r w:rsidRPr="00725849">
        <w:rPr>
          <w:rFonts w:ascii="Times New Roman" w:hAnsi="Times New Roman" w:cs="Times New Roman"/>
        </w:rPr>
        <w:t>doubled</w:t>
      </w:r>
      <w:bookmarkEnd w:id="0"/>
      <w:r w:rsidRPr="00725849">
        <w:rPr>
          <w:rFonts w:ascii="Times New Roman" w:hAnsi="Times New Roman" w:cs="Times New Roman"/>
        </w:rPr>
        <w:t xml:space="preserve"> and the crown will be mine.”</w:t>
      </w:r>
      <w:r w:rsidRPr="00725849">
        <w:rPr>
          <w:rFonts w:ascii="Times New Roman" w:hAnsi="Times New Roman" w:cs="Times New Roman"/>
          <w:vertAlign w:val="superscript"/>
        </w:rPr>
        <w:footnoteReference w:id="93"/>
      </w:r>
      <w:r w:rsidRPr="00725849">
        <w:rPr>
          <w:rFonts w:ascii="Times New Roman" w:hAnsi="Times New Roman" w:cs="Times New Roman"/>
        </w:rPr>
        <w:t xml:space="preserve"> When the accusers tried to drag </w:t>
      </w:r>
      <w:r w:rsidRPr="00725849">
        <w:rPr>
          <w:rFonts w:ascii="Times New Roman" w:eastAsia="Calibri" w:hAnsi="Times New Roman" w:cs="Times New Roman"/>
        </w:rPr>
        <w:t xml:space="preserve"> </w:t>
      </w:r>
    </w:p>
    <w:p w14:paraId="44267BE2" w14:textId="77777777" w:rsidR="00725849" w:rsidRPr="00725849" w:rsidRDefault="00725849" w:rsidP="00725849">
      <w:pPr>
        <w:spacing w:line="480" w:lineRule="auto"/>
        <w:ind w:left="20"/>
        <w:rPr>
          <w:rFonts w:ascii="Times New Roman" w:hAnsi="Times New Roman" w:cs="Times New Roman"/>
        </w:rPr>
      </w:pPr>
      <w:r w:rsidRPr="00725849">
        <w:rPr>
          <w:rFonts w:ascii="Times New Roman" w:hAnsi="Times New Roman" w:cs="Times New Roman"/>
        </w:rPr>
        <w:lastRenderedPageBreak/>
        <w:t xml:space="preserve">her away to be tortured, they were unable to move her. Neither men nor oxen nor magicians could move her from the spot God had placed her in. Such another attempt at immoral actions were foiled by God’s protection. </w:t>
      </w:r>
    </w:p>
    <w:p w14:paraId="136B60E0"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Third, these women, like many before and after, are remembered because of their ultimate sacrifice: they died for Christ. Martyrdom transcends cultural values because it is the imitation of </w:t>
      </w:r>
    </w:p>
    <w:p w14:paraId="197027B3" w14:textId="77777777" w:rsidR="00725849" w:rsidRPr="00725849" w:rsidRDefault="00725849" w:rsidP="00725849">
      <w:pPr>
        <w:spacing w:after="210" w:line="480" w:lineRule="auto"/>
        <w:ind w:left="-5"/>
        <w:rPr>
          <w:rFonts w:ascii="Times New Roman" w:hAnsi="Times New Roman" w:cs="Times New Roman"/>
        </w:rPr>
      </w:pPr>
      <w:r w:rsidRPr="00725849">
        <w:rPr>
          <w:rFonts w:ascii="Times New Roman" w:hAnsi="Times New Roman" w:cs="Times New Roman"/>
        </w:rPr>
        <w:t xml:space="preserve">Christ, as Moss claimed when she said,  </w:t>
      </w:r>
    </w:p>
    <w:p w14:paraId="7EAFCBF3" w14:textId="77777777" w:rsidR="00725849" w:rsidRPr="00725849" w:rsidRDefault="00725849" w:rsidP="00725849">
      <w:pPr>
        <w:spacing w:after="61" w:line="480" w:lineRule="auto"/>
        <w:ind w:left="706" w:right="1437" w:firstLine="710"/>
        <w:rPr>
          <w:rFonts w:ascii="Times New Roman" w:hAnsi="Times New Roman" w:cs="Times New Roman"/>
        </w:rPr>
      </w:pPr>
      <w:r w:rsidRPr="00725849">
        <w:rPr>
          <w:rFonts w:ascii="Times New Roman" w:hAnsi="Times New Roman" w:cs="Times New Roman"/>
        </w:rPr>
        <w:t>The martyrs served to demonstrate the Christly response to persecution, communal conflicts, perceived heresies, and oppression. By reincarnating Christ in the tortured flesh of martyrs, Christian communities empowered the authors of the martyr acts to speak the message of the divine son through martyr mimes.</w:t>
      </w:r>
      <w:r w:rsidRPr="00725849">
        <w:rPr>
          <w:rFonts w:ascii="Times New Roman" w:hAnsi="Times New Roman" w:cs="Times New Roman"/>
          <w:vertAlign w:val="superscript"/>
        </w:rPr>
        <w:footnoteReference w:id="94"/>
      </w:r>
      <w:r w:rsidRPr="00725849">
        <w:rPr>
          <w:rFonts w:ascii="Times New Roman" w:hAnsi="Times New Roman" w:cs="Times New Roman"/>
        </w:rPr>
        <w:t xml:space="preserve"> </w:t>
      </w:r>
    </w:p>
    <w:p w14:paraId="393025E2" w14:textId="77777777" w:rsidR="00725849" w:rsidRPr="00725849" w:rsidRDefault="00725849" w:rsidP="00725849">
      <w:pPr>
        <w:spacing w:line="480" w:lineRule="auto"/>
        <w:ind w:left="721"/>
        <w:rPr>
          <w:rFonts w:ascii="Times New Roman" w:hAnsi="Times New Roman" w:cs="Times New Roman"/>
        </w:rPr>
      </w:pPr>
      <w:r w:rsidRPr="00725849">
        <w:rPr>
          <w:rFonts w:ascii="Times New Roman" w:hAnsi="Times New Roman" w:cs="Times New Roman"/>
        </w:rPr>
        <w:t xml:space="preserve"> </w:t>
      </w:r>
    </w:p>
    <w:p w14:paraId="072A2BA4"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Venerating all martyrs is important because of their devotion to Christ and the example they leave behind. Indeed, this paper excludes many other female martyrs who are not canonized in the mass and yet are still sainted in the Church. As martyrs, they are depicted in the Church. Many of these saints had churches founded in honor of them. For instance, Saint Agnes had five churches dedicated to her in England.</w:t>
      </w:r>
      <w:r w:rsidRPr="00725849">
        <w:rPr>
          <w:rFonts w:ascii="Times New Roman" w:hAnsi="Times New Roman" w:cs="Times New Roman"/>
          <w:vertAlign w:val="superscript"/>
        </w:rPr>
        <w:footnoteReference w:id="95"/>
      </w:r>
      <w:r w:rsidRPr="00725849">
        <w:rPr>
          <w:rFonts w:ascii="Times New Roman" w:hAnsi="Times New Roman" w:cs="Times New Roman"/>
        </w:rPr>
        <w:t xml:space="preserve"> Still others are depicted in stained glass, art, and engravings. Thus, as martyrs, they are remembered and venerated. </w:t>
      </w:r>
    </w:p>
    <w:p w14:paraId="58DE8329" w14:textId="2440ECD7" w:rsidR="00725849" w:rsidRPr="00725849" w:rsidRDefault="00725849" w:rsidP="00523C9D">
      <w:pPr>
        <w:spacing w:line="480" w:lineRule="auto"/>
        <w:ind w:left="-5" w:firstLine="725"/>
        <w:rPr>
          <w:rFonts w:ascii="Times New Roman" w:hAnsi="Times New Roman" w:cs="Times New Roman"/>
        </w:rPr>
      </w:pPr>
      <w:r w:rsidRPr="00725849">
        <w:rPr>
          <w:rFonts w:ascii="Times New Roman" w:hAnsi="Times New Roman" w:cs="Times New Roman"/>
        </w:rPr>
        <w:t xml:space="preserve">Indeed, it is more notable and awe-inspiring for the women martyrs to sacrifice their life given their culturally perceived weakness and delicacy. “Even among women—their powers </w:t>
      </w:r>
      <w:r w:rsidRPr="00725849">
        <w:rPr>
          <w:rFonts w:ascii="Times New Roman" w:hAnsi="Times New Roman" w:cs="Times New Roman"/>
        </w:rPr>
        <w:lastRenderedPageBreak/>
        <w:t>normally limited to the bedroom and the household—dying well can transform oneself into a model of patriotism or heroism,” Moss noted.</w:t>
      </w:r>
      <w:r w:rsidRPr="00725849">
        <w:rPr>
          <w:rFonts w:ascii="Times New Roman" w:hAnsi="Times New Roman" w:cs="Times New Roman"/>
          <w:vertAlign w:val="superscript"/>
        </w:rPr>
        <w:footnoteReference w:id="96"/>
      </w:r>
      <w:r w:rsidRPr="00725849">
        <w:rPr>
          <w:rFonts w:ascii="Times New Roman" w:hAnsi="Times New Roman" w:cs="Times New Roman"/>
        </w:rPr>
        <w:t xml:space="preserve"> The strength and devotion to God in suffering is notable in the women martyrs, just as Christ did. The accusers were unable to move Lucy and so they tortured and executed her where she stood. There, she gave up her spirit after partaking in the </w:t>
      </w:r>
      <w:r w:rsidRPr="00725849">
        <w:rPr>
          <w:rFonts w:ascii="Times New Roman" w:eastAsia="Calibri" w:hAnsi="Times New Roman" w:cs="Times New Roman"/>
        </w:rPr>
        <w:t xml:space="preserve"> </w:t>
      </w:r>
      <w:r w:rsidRPr="00725849">
        <w:rPr>
          <w:rFonts w:ascii="Times New Roman" w:hAnsi="Times New Roman" w:cs="Times New Roman"/>
        </w:rPr>
        <w:t>Eucharist.</w:t>
      </w:r>
      <w:r w:rsidRPr="00725849">
        <w:rPr>
          <w:rFonts w:ascii="Times New Roman" w:hAnsi="Times New Roman" w:cs="Times New Roman"/>
          <w:vertAlign w:val="superscript"/>
        </w:rPr>
        <w:footnoteReference w:id="97"/>
      </w:r>
      <w:r w:rsidRPr="00725849">
        <w:rPr>
          <w:rFonts w:ascii="Times New Roman" w:hAnsi="Times New Roman" w:cs="Times New Roman"/>
        </w:rPr>
        <w:t xml:space="preserve"> Saint Agnes was condemned as a witch after she brought the boy back to life through the power of God, and, as De Voragine accounts, “her heavenly spouse consecrated her his bride and martyr.”</w:t>
      </w:r>
      <w:r w:rsidRPr="00725849">
        <w:rPr>
          <w:rFonts w:ascii="Times New Roman" w:hAnsi="Times New Roman" w:cs="Times New Roman"/>
          <w:vertAlign w:val="superscript"/>
        </w:rPr>
        <w:footnoteReference w:id="98"/>
      </w:r>
      <w:r w:rsidRPr="00725849">
        <w:rPr>
          <w:rFonts w:ascii="Times New Roman" w:hAnsi="Times New Roman" w:cs="Times New Roman"/>
        </w:rPr>
        <w:t xml:space="preserve">  </w:t>
      </w:r>
    </w:p>
    <w:p w14:paraId="6B5A97AE" w14:textId="214C111E"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Before and through their martyrdom, Cecilia and Anastasia brought others to Christ and were martyred with them. Cecilia told Valerian an angel protected her body; Valerian believed her, and he was baptized. He and Cecilia were given “two crowns of roses and lilies” by the guardian angel and told “they will never wither nor lose their sweet odor, nor can they be seen by anyone except those whom chastity pleases.”</w:t>
      </w:r>
      <w:r w:rsidRPr="00725849">
        <w:rPr>
          <w:rFonts w:ascii="Times New Roman" w:hAnsi="Times New Roman" w:cs="Times New Roman"/>
          <w:vertAlign w:val="superscript"/>
        </w:rPr>
        <w:footnoteReference w:id="99"/>
      </w:r>
      <w:r w:rsidRPr="00725849">
        <w:rPr>
          <w:rFonts w:ascii="Times New Roman" w:hAnsi="Times New Roman" w:cs="Times New Roman"/>
        </w:rPr>
        <w:t xml:space="preserve"> Valerian’s wish that his brother could join him in his faith was granted and both Valerian and his brother were martyred shortly after. Cecilia was next to be martyred and her faith and devotion to God led to over four hundred souls converted before she too was beheaded. The three virgin servants of Saint Anastasia were martyred after the prefect fell into a deep slumber from which he was unable to awaken. Finally, Anastasia was</w:t>
      </w:r>
      <w:r w:rsidR="00523C9D">
        <w:rPr>
          <w:rFonts w:ascii="Times New Roman" w:hAnsi="Times New Roman" w:cs="Times New Roman"/>
        </w:rPr>
        <w:t xml:space="preserve"> </w:t>
      </w:r>
      <w:r w:rsidRPr="00725849">
        <w:rPr>
          <w:rFonts w:ascii="Times New Roman" w:hAnsi="Times New Roman" w:cs="Times New Roman"/>
        </w:rPr>
        <w:lastRenderedPageBreak/>
        <w:t xml:space="preserve">taken to an island where two hundred other Christians were banished and she was burned </w:t>
      </w:r>
      <w:bookmarkStart w:id="1" w:name="_Int_0T5dd29d"/>
      <w:r w:rsidRPr="00725849">
        <w:rPr>
          <w:rFonts w:ascii="Times New Roman" w:hAnsi="Times New Roman" w:cs="Times New Roman"/>
        </w:rPr>
        <w:t>alive,</w:t>
      </w:r>
      <w:r w:rsidRPr="00725849">
        <w:rPr>
          <w:rFonts w:ascii="Times New Roman" w:hAnsi="Times New Roman" w:cs="Times New Roman"/>
          <w:vertAlign w:val="superscript"/>
        </w:rPr>
        <w:footnoteReference w:id="100"/>
      </w:r>
      <w:r w:rsidRPr="00725849">
        <w:rPr>
          <w:rFonts w:ascii="Times New Roman" w:hAnsi="Times New Roman" w:cs="Times New Roman"/>
        </w:rPr>
        <w:t xml:space="preserve"> while</w:t>
      </w:r>
      <w:bookmarkEnd w:id="1"/>
      <w:r w:rsidRPr="00725849">
        <w:rPr>
          <w:rFonts w:ascii="Times New Roman" w:hAnsi="Times New Roman" w:cs="Times New Roman"/>
        </w:rPr>
        <w:t xml:space="preserve"> the other Christians were killed in several different ways.</w:t>
      </w:r>
      <w:r w:rsidRPr="00725849">
        <w:rPr>
          <w:rStyle w:val="FootnoteReference"/>
          <w:rFonts w:ascii="Times New Roman" w:hAnsi="Times New Roman" w:cs="Times New Roman"/>
        </w:rPr>
        <w:footnoteReference w:id="101"/>
      </w:r>
    </w:p>
    <w:p w14:paraId="16EAAAA5" w14:textId="27316DF9" w:rsidR="00725849" w:rsidRPr="00725849" w:rsidRDefault="00725849" w:rsidP="00523C9D">
      <w:pPr>
        <w:spacing w:line="480" w:lineRule="auto"/>
        <w:ind w:left="-15" w:firstLine="721"/>
        <w:rPr>
          <w:rFonts w:ascii="Times New Roman" w:hAnsi="Times New Roman" w:cs="Times New Roman"/>
        </w:rPr>
      </w:pPr>
      <w:r w:rsidRPr="00725849">
        <w:rPr>
          <w:rFonts w:ascii="Times New Roman" w:hAnsi="Times New Roman" w:cs="Times New Roman"/>
        </w:rPr>
        <w:t>Similarly, Perpetua and Felicity died martyrs with those who they communed with as Christians. They victoriously marched to the amphitheater to fight the beasts and attackers, joyful in spirit, especially since Felicity had given birth to her daughter and so was able to sacrifice herself with her fellow Christians Perpetua, Revocatus, Saturninus, and Saturus rather than with common criminals. The men, Revocatus, Saturninus, and Saturus were offered to a boar and bear and</w:t>
      </w:r>
      <w:r w:rsidR="00523C9D">
        <w:rPr>
          <w:rFonts w:ascii="Times New Roman" w:hAnsi="Times New Roman" w:cs="Times New Roman"/>
        </w:rPr>
        <w:t xml:space="preserve"> </w:t>
      </w:r>
      <w:r w:rsidRPr="00725849">
        <w:rPr>
          <w:rFonts w:ascii="Times New Roman" w:hAnsi="Times New Roman" w:cs="Times New Roman"/>
        </w:rPr>
        <w:t>leopard; “[for] the young women, however, the devil prepared a wild cow—not a traditional practice—matching their sex with that of a beast.”</w:t>
      </w:r>
      <w:r w:rsidRPr="00725849">
        <w:rPr>
          <w:rFonts w:ascii="Times New Roman" w:hAnsi="Times New Roman" w:cs="Times New Roman"/>
          <w:vertAlign w:val="superscript"/>
        </w:rPr>
        <w:footnoteReference w:id="102"/>
      </w:r>
      <w:r w:rsidRPr="00725849">
        <w:rPr>
          <w:rFonts w:ascii="Times New Roman" w:hAnsi="Times New Roman" w:cs="Times New Roman"/>
        </w:rPr>
        <w:t xml:space="preserve"> She and Felicity together were attacked by a wild cow but Perpetua “was so deep in the spirit and in ecstasy” she did not realize the attack had </w:t>
      </w:r>
    </w:p>
    <w:p w14:paraId="43A12D8B" w14:textId="77777777" w:rsidR="00725849" w:rsidRPr="00725849" w:rsidRDefault="00725849" w:rsidP="00725849">
      <w:pPr>
        <w:spacing w:line="480" w:lineRule="auto"/>
        <w:ind w:left="-5"/>
        <w:rPr>
          <w:rFonts w:ascii="Times New Roman" w:hAnsi="Times New Roman" w:cs="Times New Roman"/>
        </w:rPr>
      </w:pPr>
      <w:r w:rsidRPr="00725849">
        <w:rPr>
          <w:rFonts w:ascii="Times New Roman" w:hAnsi="Times New Roman" w:cs="Times New Roman"/>
        </w:rPr>
        <w:t>already come and awaited more.</w:t>
      </w:r>
      <w:r w:rsidRPr="00725849">
        <w:rPr>
          <w:rFonts w:ascii="Times New Roman" w:hAnsi="Times New Roman" w:cs="Times New Roman"/>
          <w:vertAlign w:val="superscript"/>
        </w:rPr>
        <w:footnoteReference w:id="103"/>
      </w:r>
      <w:r w:rsidRPr="00725849">
        <w:rPr>
          <w:rFonts w:ascii="Times New Roman" w:hAnsi="Times New Roman" w:cs="Times New Roman"/>
        </w:rPr>
        <w:t xml:space="preserve"> Finally, the Christians – bleeding and wounded – laid themselves in the middle of the arena per the desire of the crowd and their throats were cut. Indeed, Perpetua had to guide the sword of the gladiator who wavered to her own throat.</w:t>
      </w:r>
      <w:r w:rsidRPr="00725849">
        <w:rPr>
          <w:rFonts w:ascii="Times New Roman" w:hAnsi="Times New Roman" w:cs="Times New Roman"/>
          <w:vertAlign w:val="superscript"/>
        </w:rPr>
        <w:footnoteReference w:id="104"/>
      </w:r>
      <w:r w:rsidRPr="00725849">
        <w:rPr>
          <w:rFonts w:ascii="Times New Roman" w:hAnsi="Times New Roman" w:cs="Times New Roman"/>
        </w:rPr>
        <w:t xml:space="preserve"> And thus, they were all received the crown of martyrdom, devoted to Christ through the end.  </w:t>
      </w:r>
    </w:p>
    <w:p w14:paraId="195D10C7" w14:textId="77777777" w:rsidR="00725849" w:rsidRPr="00725849" w:rsidRDefault="00725849" w:rsidP="00725849">
      <w:pPr>
        <w:spacing w:line="480" w:lineRule="auto"/>
        <w:ind w:left="-15" w:firstLine="721"/>
        <w:rPr>
          <w:rFonts w:ascii="Times New Roman" w:hAnsi="Times New Roman" w:cs="Times New Roman"/>
        </w:rPr>
      </w:pPr>
      <w:r w:rsidRPr="00725849">
        <w:rPr>
          <w:rFonts w:ascii="Times New Roman" w:hAnsi="Times New Roman" w:cs="Times New Roman"/>
        </w:rPr>
        <w:t xml:space="preserve">Agatha, too, was crowned with martyrdom after great suffering, remaining devoted in her faith. Imprisoned but healed by Saint Peter, she again refused to worship the pagan gods. She prayed to God after a second torment saying, “Lord Jesus Christ, you created me, you have </w:t>
      </w:r>
      <w:r w:rsidRPr="00725849">
        <w:rPr>
          <w:rFonts w:ascii="Times New Roman" w:hAnsi="Times New Roman" w:cs="Times New Roman"/>
        </w:rPr>
        <w:lastRenderedPageBreak/>
        <w:t>watched over me from infancy, kept my body from defilement, preserved me from love of the world, made me withstand torture, and granted me the virtue of patience in the midst of torments.”</w:t>
      </w:r>
      <w:r w:rsidRPr="00725849">
        <w:rPr>
          <w:rFonts w:ascii="Times New Roman" w:hAnsi="Times New Roman" w:cs="Times New Roman"/>
          <w:vertAlign w:val="superscript"/>
        </w:rPr>
        <w:footnoteReference w:id="105"/>
      </w:r>
      <w:r w:rsidRPr="00725849">
        <w:rPr>
          <w:rFonts w:ascii="Times New Roman" w:hAnsi="Times New Roman" w:cs="Times New Roman"/>
        </w:rPr>
        <w:t xml:space="preserve"> With her prayer, Agatha, content in her suffering, love of God, and purity offered up her spirit to God. She endured the pain by her devotion to her Lord to remain pure and suffered her passion willingly for her purity. </w:t>
      </w:r>
    </w:p>
    <w:p w14:paraId="5C1BEB9F" w14:textId="61AE5F89" w:rsidR="00725849" w:rsidRPr="00725849" w:rsidRDefault="00725849" w:rsidP="00D30F6E">
      <w:pPr>
        <w:spacing w:line="480" w:lineRule="auto"/>
        <w:ind w:left="-15" w:firstLine="721"/>
        <w:rPr>
          <w:rFonts w:ascii="Times New Roman" w:hAnsi="Times New Roman" w:cs="Times New Roman"/>
        </w:rPr>
      </w:pPr>
      <w:r w:rsidRPr="00725849">
        <w:rPr>
          <w:rFonts w:ascii="Times New Roman" w:hAnsi="Times New Roman" w:cs="Times New Roman"/>
        </w:rPr>
        <w:t xml:space="preserve">These women, and those who were with them, suffered death because they refused to sacrifice to the pagan gods of Rome. Through their devotion to God, they remained chaste, clinging to Christ as to a bridegroom. Heffernan asserted, “The lives of the female saints of the later Middle Ages were equally indebted to this ideal of virginity as charismatic witness, as martyr, as women capable of superhuman feats, and as </w:t>
      </w:r>
      <w:r w:rsidRPr="00725849">
        <w:rPr>
          <w:rFonts w:ascii="Times New Roman" w:hAnsi="Times New Roman" w:cs="Times New Roman"/>
          <w:i/>
        </w:rPr>
        <w:t>sponsa Christi</w:t>
      </w:r>
      <w:r w:rsidRPr="00725849">
        <w:rPr>
          <w:rFonts w:ascii="Times New Roman" w:hAnsi="Times New Roman" w:cs="Times New Roman"/>
        </w:rPr>
        <w:t>.”</w:t>
      </w:r>
      <w:r w:rsidRPr="00725849">
        <w:rPr>
          <w:rFonts w:ascii="Times New Roman" w:hAnsi="Times New Roman" w:cs="Times New Roman"/>
          <w:vertAlign w:val="superscript"/>
        </w:rPr>
        <w:footnoteReference w:id="106"/>
      </w:r>
      <w:r w:rsidRPr="00725849">
        <w:rPr>
          <w:rFonts w:ascii="Times New Roman" w:hAnsi="Times New Roman" w:cs="Times New Roman"/>
        </w:rPr>
        <w:t xml:space="preserve"> The seven listed martyrs were inspirational, some to each other as Agatha was to Lucy, and to martyrs following them, some even centuries later with the Martyrs of the Compiegne, French nuns who were guillotined for their faith during the French Revolution.  </w:t>
      </w:r>
    </w:p>
    <w:p w14:paraId="2C24E667" w14:textId="73108BCB" w:rsidR="00725849" w:rsidRPr="00725849" w:rsidRDefault="00725849" w:rsidP="00D30F6E">
      <w:pPr>
        <w:spacing w:line="480" w:lineRule="auto"/>
        <w:ind w:left="-15" w:firstLine="721"/>
        <w:rPr>
          <w:rFonts w:ascii="Times New Roman" w:hAnsi="Times New Roman" w:cs="Times New Roman"/>
        </w:rPr>
      </w:pPr>
      <w:r w:rsidRPr="00725849">
        <w:rPr>
          <w:rFonts w:ascii="Times New Roman" w:hAnsi="Times New Roman" w:cs="Times New Roman"/>
        </w:rPr>
        <w:t xml:space="preserve">Heffernan remarked on this significance of inspiring others to suffer for Christ. He wrote, “Suffering is presented as a prerequisite for the prize of salvation: a wealthy young maiden, a Perpetua, Agnes, Agatha, Cecilia, or Christina, who has renounced her privilege, must traverse a gauntlet of physical suffering – cultic </w:t>
      </w:r>
      <w:r w:rsidRPr="00725849">
        <w:rPr>
          <w:rFonts w:ascii="Times New Roman" w:hAnsi="Times New Roman" w:cs="Times New Roman"/>
          <w:i/>
        </w:rPr>
        <w:t>rite de passage</w:t>
      </w:r>
      <w:r w:rsidRPr="00725849">
        <w:rPr>
          <w:rFonts w:ascii="Times New Roman" w:hAnsi="Times New Roman" w:cs="Times New Roman"/>
        </w:rPr>
        <w:t xml:space="preserve"> – before achieving her goal of </w:t>
      </w:r>
      <w:r w:rsidRPr="00725849">
        <w:rPr>
          <w:rFonts w:ascii="Times New Roman" w:hAnsi="Times New Roman" w:cs="Times New Roman"/>
          <w:i/>
        </w:rPr>
        <w:t>sponsa Dei</w:t>
      </w:r>
      <w:r w:rsidRPr="00725849">
        <w:rPr>
          <w:rFonts w:ascii="Times New Roman" w:hAnsi="Times New Roman" w:cs="Times New Roman"/>
        </w:rPr>
        <w:t>.”</w:t>
      </w:r>
      <w:r w:rsidRPr="00725849">
        <w:rPr>
          <w:rFonts w:ascii="Times New Roman" w:hAnsi="Times New Roman" w:cs="Times New Roman"/>
          <w:vertAlign w:val="superscript"/>
        </w:rPr>
        <w:footnoteReference w:id="107"/>
      </w:r>
      <w:r w:rsidRPr="00725849">
        <w:rPr>
          <w:rFonts w:ascii="Times New Roman" w:hAnsi="Times New Roman" w:cs="Times New Roman"/>
        </w:rPr>
        <w:t xml:space="preserve"> The seven women martyrs of the Catholic Canon demonstrated how to imitate Christ through their chastity and devotion to Christ despite renouncing their privilege and status and suffering and dying. Despite the sacrifice of the privileges and customs of Roman marriages, woman’s identity, and ultimately their lives in imitation of Christ, the women martyrs in the </w:t>
      </w:r>
      <w:r w:rsidRPr="00725849">
        <w:rPr>
          <w:rFonts w:ascii="Times New Roman" w:hAnsi="Times New Roman" w:cs="Times New Roman"/>
        </w:rPr>
        <w:lastRenderedPageBreak/>
        <w:t>Roman Catholic canon clung to chastity to serve and imitate Christ. Saint Augustine, in his sermon on Perpetua and Felicity, reflected on martyrdom celebration and veneration saying, “</w:t>
      </w:r>
      <w:r w:rsidRPr="00725849">
        <w:rPr>
          <w:rFonts w:ascii="Times New Roman" w:hAnsi="Times New Roman" w:cs="Times New Roman"/>
          <w:i/>
        </w:rPr>
        <w:t xml:space="preserve">Because if one member suffers, all the members suffer with it; so too when one member is glorified, all the members rejoice with it </w:t>
      </w:r>
      <w:r w:rsidRPr="00725849">
        <w:rPr>
          <w:rFonts w:ascii="Times New Roman" w:hAnsi="Times New Roman" w:cs="Times New Roman"/>
        </w:rPr>
        <w:t xml:space="preserve">(1 Cor 12:16)…Just as that one man laid down his life for us all, so the martyrs too imitated him, and laid down their lives for their brothers and sisters; and in order that this bumper crop of </w:t>
      </w:r>
      <w:r w:rsidR="001B3848">
        <w:rPr>
          <w:rFonts w:ascii="Times New Roman" w:hAnsi="Times New Roman" w:cs="Times New Roman"/>
        </w:rPr>
        <w:t xml:space="preserve"> </w:t>
      </w:r>
      <w:r w:rsidRPr="00725849">
        <w:rPr>
          <w:rFonts w:ascii="Times New Roman" w:hAnsi="Times New Roman" w:cs="Times New Roman"/>
        </w:rPr>
        <w:t>Christian peoples might spring up like sprouting seeds, they watered the earth with their blood.”</w:t>
      </w:r>
      <w:r w:rsidRPr="00725849">
        <w:rPr>
          <w:rFonts w:ascii="Times New Roman" w:hAnsi="Times New Roman" w:cs="Times New Roman"/>
          <w:vertAlign w:val="superscript"/>
        </w:rPr>
        <w:footnoteReference w:id="108"/>
      </w:r>
      <w:r w:rsidRPr="00725849">
        <w:rPr>
          <w:rFonts w:ascii="Times New Roman" w:hAnsi="Times New Roman" w:cs="Times New Roman"/>
        </w:rPr>
        <w:t xml:space="preserve"> </w:t>
      </w:r>
    </w:p>
    <w:p w14:paraId="1EA7D5D6" w14:textId="77777777" w:rsidR="00725849" w:rsidRDefault="00725849" w:rsidP="00725849">
      <w:pPr>
        <w:spacing w:line="259" w:lineRule="auto"/>
      </w:pPr>
      <w:r>
        <w:t xml:space="preserve"> </w:t>
      </w:r>
    </w:p>
    <w:p w14:paraId="68D31EEE" w14:textId="77777777" w:rsidR="00776662" w:rsidRDefault="00776662" w:rsidP="0036080B">
      <w:pPr>
        <w:pStyle w:val="p1"/>
        <w:rPr>
          <w:sz w:val="24"/>
          <w:szCs w:val="24"/>
        </w:rPr>
      </w:pPr>
    </w:p>
    <w:p w14:paraId="5B034960" w14:textId="77777777" w:rsidR="00672951" w:rsidRDefault="00672951" w:rsidP="0036080B">
      <w:pPr>
        <w:pStyle w:val="p1"/>
        <w:rPr>
          <w:sz w:val="24"/>
          <w:szCs w:val="24"/>
        </w:rPr>
      </w:pPr>
    </w:p>
    <w:p w14:paraId="58F29534" w14:textId="77777777" w:rsidR="00672951" w:rsidRDefault="00672951" w:rsidP="0036080B">
      <w:pPr>
        <w:pStyle w:val="p1"/>
        <w:rPr>
          <w:sz w:val="24"/>
          <w:szCs w:val="24"/>
        </w:rPr>
      </w:pPr>
    </w:p>
    <w:p w14:paraId="1BBD6581" w14:textId="77777777" w:rsidR="00672951" w:rsidRDefault="00672951" w:rsidP="0036080B">
      <w:pPr>
        <w:pStyle w:val="p1"/>
        <w:rPr>
          <w:sz w:val="24"/>
          <w:szCs w:val="24"/>
        </w:rPr>
      </w:pPr>
    </w:p>
    <w:p w14:paraId="2F8DB51F" w14:textId="77777777" w:rsidR="00672951" w:rsidRDefault="00672951" w:rsidP="0036080B">
      <w:pPr>
        <w:pStyle w:val="p1"/>
        <w:rPr>
          <w:sz w:val="24"/>
          <w:szCs w:val="24"/>
        </w:rPr>
      </w:pPr>
    </w:p>
    <w:p w14:paraId="05E29CE2" w14:textId="77777777" w:rsidR="00672951" w:rsidRDefault="00672951" w:rsidP="0036080B">
      <w:pPr>
        <w:pStyle w:val="p1"/>
        <w:rPr>
          <w:sz w:val="24"/>
          <w:szCs w:val="24"/>
        </w:rPr>
      </w:pPr>
    </w:p>
    <w:p w14:paraId="36B750E7" w14:textId="77777777" w:rsidR="00672951" w:rsidRDefault="00672951" w:rsidP="0036080B">
      <w:pPr>
        <w:pStyle w:val="p1"/>
        <w:rPr>
          <w:sz w:val="24"/>
          <w:szCs w:val="24"/>
        </w:rPr>
      </w:pPr>
    </w:p>
    <w:p w14:paraId="7FD41464" w14:textId="77777777" w:rsidR="00672951" w:rsidRDefault="00672951" w:rsidP="0036080B">
      <w:pPr>
        <w:pStyle w:val="p1"/>
        <w:rPr>
          <w:sz w:val="24"/>
          <w:szCs w:val="24"/>
        </w:rPr>
      </w:pPr>
    </w:p>
    <w:p w14:paraId="778E3810" w14:textId="77777777" w:rsidR="00672951" w:rsidRDefault="00672951" w:rsidP="0036080B">
      <w:pPr>
        <w:pStyle w:val="p1"/>
        <w:rPr>
          <w:sz w:val="24"/>
          <w:szCs w:val="24"/>
        </w:rPr>
      </w:pPr>
    </w:p>
    <w:p w14:paraId="603E4071" w14:textId="77777777" w:rsidR="00672951" w:rsidRDefault="00672951" w:rsidP="0036080B">
      <w:pPr>
        <w:pStyle w:val="p1"/>
        <w:rPr>
          <w:sz w:val="24"/>
          <w:szCs w:val="24"/>
        </w:rPr>
      </w:pPr>
    </w:p>
    <w:p w14:paraId="27917BD6" w14:textId="77777777" w:rsidR="00672951" w:rsidRDefault="00672951" w:rsidP="0036080B">
      <w:pPr>
        <w:pStyle w:val="p1"/>
        <w:rPr>
          <w:sz w:val="24"/>
          <w:szCs w:val="24"/>
        </w:rPr>
      </w:pPr>
    </w:p>
    <w:p w14:paraId="622B85A3" w14:textId="77777777" w:rsidR="00672951" w:rsidRDefault="00672951" w:rsidP="0036080B">
      <w:pPr>
        <w:pStyle w:val="p1"/>
        <w:rPr>
          <w:sz w:val="24"/>
          <w:szCs w:val="24"/>
        </w:rPr>
      </w:pPr>
    </w:p>
    <w:p w14:paraId="734622D0" w14:textId="77777777" w:rsidR="00672951" w:rsidRDefault="00672951" w:rsidP="0036080B">
      <w:pPr>
        <w:pStyle w:val="p1"/>
        <w:rPr>
          <w:sz w:val="24"/>
          <w:szCs w:val="24"/>
        </w:rPr>
      </w:pPr>
    </w:p>
    <w:p w14:paraId="2CA085F5" w14:textId="77777777" w:rsidR="00672951" w:rsidRDefault="00672951" w:rsidP="0036080B">
      <w:pPr>
        <w:pStyle w:val="p1"/>
        <w:rPr>
          <w:sz w:val="24"/>
          <w:szCs w:val="24"/>
        </w:rPr>
      </w:pPr>
    </w:p>
    <w:p w14:paraId="1E8B8FDC" w14:textId="77777777" w:rsidR="00672951" w:rsidRDefault="00672951" w:rsidP="0036080B">
      <w:pPr>
        <w:pStyle w:val="p1"/>
        <w:rPr>
          <w:sz w:val="24"/>
          <w:szCs w:val="24"/>
        </w:rPr>
      </w:pPr>
    </w:p>
    <w:p w14:paraId="78A2D08F" w14:textId="77777777" w:rsidR="00672951" w:rsidRDefault="00672951" w:rsidP="0036080B">
      <w:pPr>
        <w:pStyle w:val="p1"/>
        <w:rPr>
          <w:sz w:val="24"/>
          <w:szCs w:val="24"/>
        </w:rPr>
      </w:pPr>
    </w:p>
    <w:p w14:paraId="2BCA0CE3" w14:textId="77777777" w:rsidR="00672951" w:rsidRDefault="00672951" w:rsidP="0036080B">
      <w:pPr>
        <w:pStyle w:val="p1"/>
        <w:rPr>
          <w:sz w:val="24"/>
          <w:szCs w:val="24"/>
        </w:rPr>
      </w:pPr>
    </w:p>
    <w:p w14:paraId="6C28E6D5" w14:textId="77777777" w:rsidR="00672951" w:rsidRDefault="00672951" w:rsidP="0036080B">
      <w:pPr>
        <w:pStyle w:val="p1"/>
        <w:rPr>
          <w:sz w:val="24"/>
          <w:szCs w:val="24"/>
        </w:rPr>
      </w:pPr>
    </w:p>
    <w:p w14:paraId="58AF3AF9" w14:textId="77777777" w:rsidR="00672951" w:rsidRDefault="00672951" w:rsidP="0036080B">
      <w:pPr>
        <w:pStyle w:val="p1"/>
        <w:rPr>
          <w:sz w:val="24"/>
          <w:szCs w:val="24"/>
        </w:rPr>
      </w:pPr>
    </w:p>
    <w:p w14:paraId="37E21405" w14:textId="77777777" w:rsidR="00672951" w:rsidRDefault="00672951" w:rsidP="0036080B">
      <w:pPr>
        <w:pStyle w:val="p1"/>
        <w:rPr>
          <w:sz w:val="24"/>
          <w:szCs w:val="24"/>
        </w:rPr>
      </w:pPr>
    </w:p>
    <w:p w14:paraId="2591700E" w14:textId="77777777" w:rsidR="00672951" w:rsidRDefault="00672951" w:rsidP="0036080B">
      <w:pPr>
        <w:pStyle w:val="p1"/>
        <w:rPr>
          <w:sz w:val="24"/>
          <w:szCs w:val="24"/>
        </w:rPr>
      </w:pPr>
    </w:p>
    <w:p w14:paraId="1391109F" w14:textId="77777777" w:rsidR="00672951" w:rsidRDefault="00672951" w:rsidP="0036080B">
      <w:pPr>
        <w:pStyle w:val="p1"/>
        <w:rPr>
          <w:sz w:val="24"/>
          <w:szCs w:val="24"/>
        </w:rPr>
      </w:pPr>
    </w:p>
    <w:p w14:paraId="4AACFEBA" w14:textId="77777777" w:rsidR="00672951" w:rsidRDefault="00672951" w:rsidP="0036080B">
      <w:pPr>
        <w:pStyle w:val="p1"/>
        <w:rPr>
          <w:sz w:val="24"/>
          <w:szCs w:val="24"/>
        </w:rPr>
      </w:pPr>
    </w:p>
    <w:p w14:paraId="5F6C742D" w14:textId="77777777" w:rsidR="00672951" w:rsidRDefault="00672951" w:rsidP="0036080B">
      <w:pPr>
        <w:pStyle w:val="p1"/>
        <w:rPr>
          <w:sz w:val="24"/>
          <w:szCs w:val="24"/>
        </w:rPr>
      </w:pPr>
    </w:p>
    <w:p w14:paraId="680B1B60" w14:textId="77777777" w:rsidR="00672951" w:rsidRDefault="00672951" w:rsidP="0036080B">
      <w:pPr>
        <w:pStyle w:val="p1"/>
        <w:rPr>
          <w:sz w:val="24"/>
          <w:szCs w:val="24"/>
        </w:rPr>
      </w:pPr>
    </w:p>
    <w:p w14:paraId="711377DB" w14:textId="77777777" w:rsidR="003C67BC" w:rsidRDefault="003C67BC" w:rsidP="00776662">
      <w:pPr>
        <w:rPr>
          <w:rFonts w:ascii="Bodoni MT" w:hAnsi="Bodoni MT" w:cs="Times New Roman"/>
          <w:i/>
          <w:iCs/>
          <w:sz w:val="40"/>
          <w:szCs w:val="40"/>
        </w:rPr>
      </w:pPr>
    </w:p>
    <w:p w14:paraId="147D2DCD" w14:textId="77777777" w:rsidR="00902219" w:rsidRDefault="00902219" w:rsidP="00776662">
      <w:pPr>
        <w:rPr>
          <w:rFonts w:ascii="Bodoni MT" w:hAnsi="Bodoni MT" w:cs="Times New Roman"/>
          <w:i/>
          <w:iCs/>
          <w:sz w:val="40"/>
          <w:szCs w:val="40"/>
        </w:rPr>
      </w:pPr>
    </w:p>
    <w:p w14:paraId="77FA8D04" w14:textId="77777777" w:rsidR="003C6FFB" w:rsidRPr="003C6FFB" w:rsidRDefault="003C6FFB" w:rsidP="003C6FFB">
      <w:pPr>
        <w:spacing w:after="185" w:line="259" w:lineRule="auto"/>
        <w:jc w:val="center"/>
        <w:rPr>
          <w:rFonts w:ascii="Times New Roman" w:hAnsi="Times New Roman" w:cs="Times New Roman"/>
        </w:rPr>
      </w:pPr>
      <w:r w:rsidRPr="003C6FFB">
        <w:rPr>
          <w:rFonts w:ascii="Times New Roman" w:hAnsi="Times New Roman" w:cs="Times New Roman"/>
        </w:rPr>
        <w:lastRenderedPageBreak/>
        <w:t>Bibliography</w:t>
      </w:r>
    </w:p>
    <w:p w14:paraId="6200D68D" w14:textId="77777777" w:rsidR="003C6FFB" w:rsidRPr="003C6FFB" w:rsidRDefault="003C6FFB" w:rsidP="003C6FFB">
      <w:pPr>
        <w:spacing w:after="155" w:line="259" w:lineRule="auto"/>
        <w:ind w:left="-5"/>
        <w:rPr>
          <w:rFonts w:ascii="Times New Roman" w:hAnsi="Times New Roman" w:cs="Times New Roman"/>
        </w:rPr>
      </w:pPr>
      <w:r w:rsidRPr="003C6FFB">
        <w:rPr>
          <w:rFonts w:ascii="Times New Roman" w:hAnsi="Times New Roman" w:cs="Times New Roman"/>
        </w:rPr>
        <w:t>Primary Sources</w:t>
      </w:r>
    </w:p>
    <w:p w14:paraId="5533C20D" w14:textId="77777777" w:rsidR="003C6FFB" w:rsidRPr="003C6FFB" w:rsidRDefault="003C6FFB" w:rsidP="003C6FFB">
      <w:pPr>
        <w:spacing w:line="259" w:lineRule="auto"/>
        <w:ind w:left="-5"/>
        <w:rPr>
          <w:rFonts w:ascii="Times New Roman" w:hAnsi="Times New Roman" w:cs="Times New Roman"/>
        </w:rPr>
      </w:pPr>
      <w:r w:rsidRPr="003C6FFB">
        <w:rPr>
          <w:rFonts w:ascii="Times New Roman" w:hAnsi="Times New Roman" w:cs="Times New Roman"/>
        </w:rPr>
        <w:t xml:space="preserve">De Voragine, Jacobus. </w:t>
      </w:r>
      <w:r w:rsidRPr="003C6FFB">
        <w:rPr>
          <w:rFonts w:ascii="Times New Roman" w:hAnsi="Times New Roman" w:cs="Times New Roman"/>
          <w:i/>
        </w:rPr>
        <w:t xml:space="preserve">The Golden Legend. </w:t>
      </w:r>
      <w:r w:rsidRPr="003C6FFB">
        <w:rPr>
          <w:rFonts w:ascii="Times New Roman" w:hAnsi="Times New Roman" w:cs="Times New Roman"/>
        </w:rPr>
        <w:t xml:space="preserve">Translated by William Granger Ryan. Princeton: </w:t>
      </w:r>
    </w:p>
    <w:p w14:paraId="3DA85CF7" w14:textId="77777777" w:rsidR="003C6FFB" w:rsidRPr="003C6FFB" w:rsidRDefault="003C6FFB" w:rsidP="003C6FFB">
      <w:pPr>
        <w:spacing w:after="155" w:line="259" w:lineRule="auto"/>
        <w:ind w:left="731"/>
        <w:rPr>
          <w:rFonts w:ascii="Times New Roman" w:hAnsi="Times New Roman" w:cs="Times New Roman"/>
        </w:rPr>
      </w:pPr>
      <w:r w:rsidRPr="003C6FFB">
        <w:rPr>
          <w:rFonts w:ascii="Times New Roman" w:hAnsi="Times New Roman" w:cs="Times New Roman"/>
        </w:rPr>
        <w:t xml:space="preserve">Princeton University Press, 1995. </w:t>
      </w:r>
    </w:p>
    <w:p w14:paraId="7F034D50" w14:textId="77777777" w:rsidR="003C6FFB" w:rsidRPr="003C6FFB" w:rsidRDefault="003C6FFB" w:rsidP="003C6FFB">
      <w:pPr>
        <w:spacing w:after="34" w:line="269" w:lineRule="auto"/>
        <w:ind w:left="-15" w:right="247"/>
        <w:rPr>
          <w:rFonts w:ascii="Times New Roman" w:hAnsi="Times New Roman" w:cs="Times New Roman"/>
        </w:rPr>
      </w:pPr>
      <w:r w:rsidRPr="003C6FFB">
        <w:rPr>
          <w:rFonts w:ascii="Times New Roman" w:hAnsi="Times New Roman" w:cs="Times New Roman"/>
        </w:rPr>
        <w:t xml:space="preserve">“Eucharistic Prayer 1 (The Roman Canon).” Eucharist: The Basic Spirituality. Accessed November 25, 2022. https://theeucharist.wordpress.com/index/appendix-of-eucharisticprayers/eucharistic-prayer-1/. St. Ambrose. “On Virginity Book I.” New Advent. Accessed December 5, 2022. </w:t>
      </w:r>
    </w:p>
    <w:p w14:paraId="3CB9F13F" w14:textId="77777777" w:rsidR="003C6FFB" w:rsidRPr="003C6FFB" w:rsidRDefault="003C6FFB" w:rsidP="003C6FFB">
      <w:pPr>
        <w:spacing w:line="259" w:lineRule="auto"/>
        <w:ind w:left="731"/>
        <w:rPr>
          <w:rFonts w:ascii="Times New Roman" w:hAnsi="Times New Roman" w:cs="Times New Roman"/>
        </w:rPr>
      </w:pPr>
      <w:r w:rsidRPr="003C6FFB">
        <w:rPr>
          <w:rFonts w:ascii="Times New Roman" w:hAnsi="Times New Roman" w:cs="Times New Roman"/>
        </w:rPr>
        <w:t xml:space="preserve">https://www.newadvent.org/fathers/34071.htm. </w:t>
      </w:r>
    </w:p>
    <w:p w14:paraId="4468C90A" w14:textId="77777777" w:rsidR="003C6FFB" w:rsidRPr="003C6FFB" w:rsidRDefault="003C6FFB" w:rsidP="003C6FFB">
      <w:pPr>
        <w:spacing w:line="259" w:lineRule="auto"/>
        <w:rPr>
          <w:rFonts w:ascii="Times New Roman" w:hAnsi="Times New Roman" w:cs="Times New Roman"/>
        </w:rPr>
      </w:pPr>
      <w:r w:rsidRPr="003C6FFB">
        <w:rPr>
          <w:rFonts w:ascii="Times New Roman" w:hAnsi="Times New Roman" w:cs="Times New Roman"/>
        </w:rPr>
        <w:t xml:space="preserve"> </w:t>
      </w:r>
    </w:p>
    <w:p w14:paraId="02F56598" w14:textId="77777777" w:rsidR="003C6FFB" w:rsidRPr="003C6FFB" w:rsidRDefault="003C6FFB" w:rsidP="003C6FFB">
      <w:pPr>
        <w:spacing w:line="259" w:lineRule="auto"/>
        <w:ind w:left="-5"/>
        <w:rPr>
          <w:rFonts w:ascii="Times New Roman" w:hAnsi="Times New Roman" w:cs="Times New Roman"/>
        </w:rPr>
      </w:pPr>
      <w:r w:rsidRPr="003C6FFB">
        <w:rPr>
          <w:rFonts w:ascii="Times New Roman" w:hAnsi="Times New Roman" w:cs="Times New Roman"/>
        </w:rPr>
        <w:t xml:space="preserve">St. Ambrose. “On Virginity Book II.” New Advent. Accessed December 5, 2022. </w:t>
      </w:r>
    </w:p>
    <w:p w14:paraId="1B472D58" w14:textId="77777777" w:rsidR="003C6FFB" w:rsidRPr="003C6FFB" w:rsidRDefault="003C6FFB" w:rsidP="003C6FFB">
      <w:pPr>
        <w:spacing w:line="259" w:lineRule="auto"/>
        <w:ind w:left="731"/>
        <w:rPr>
          <w:rFonts w:ascii="Times New Roman" w:hAnsi="Times New Roman" w:cs="Times New Roman"/>
        </w:rPr>
      </w:pPr>
      <w:r w:rsidRPr="003C6FFB">
        <w:rPr>
          <w:rFonts w:ascii="Times New Roman" w:hAnsi="Times New Roman" w:cs="Times New Roman"/>
        </w:rPr>
        <w:t xml:space="preserve">https://www.newadvent.org/fathers/34072.htm. </w:t>
      </w:r>
    </w:p>
    <w:p w14:paraId="14A35A7F" w14:textId="77777777" w:rsidR="003C6FFB" w:rsidRPr="003C6FFB" w:rsidRDefault="003C6FFB" w:rsidP="003C6FFB">
      <w:pPr>
        <w:spacing w:after="1" w:line="259" w:lineRule="auto"/>
        <w:rPr>
          <w:rFonts w:ascii="Times New Roman" w:hAnsi="Times New Roman" w:cs="Times New Roman"/>
        </w:rPr>
      </w:pPr>
      <w:r w:rsidRPr="003C6FFB">
        <w:rPr>
          <w:rFonts w:ascii="Times New Roman" w:hAnsi="Times New Roman" w:cs="Times New Roman"/>
        </w:rPr>
        <w:t xml:space="preserve"> </w:t>
      </w:r>
    </w:p>
    <w:p w14:paraId="59D3763A" w14:textId="77777777" w:rsidR="003C6FFB" w:rsidRPr="003C6FFB" w:rsidRDefault="003C6FFB" w:rsidP="003C6FFB">
      <w:pPr>
        <w:spacing w:after="180" w:line="259" w:lineRule="auto"/>
        <w:ind w:left="706" w:hanging="721"/>
        <w:rPr>
          <w:rFonts w:ascii="Times New Roman" w:hAnsi="Times New Roman" w:cs="Times New Roman"/>
        </w:rPr>
      </w:pPr>
      <w:r w:rsidRPr="003C6FFB">
        <w:rPr>
          <w:rFonts w:ascii="Times New Roman" w:hAnsi="Times New Roman" w:cs="Times New Roman"/>
        </w:rPr>
        <w:t xml:space="preserve">“Saint Agatha.” In Jacobus De Voragine, </w:t>
      </w:r>
      <w:r w:rsidRPr="003C6FFB">
        <w:rPr>
          <w:rFonts w:ascii="Times New Roman" w:hAnsi="Times New Roman" w:cs="Times New Roman"/>
          <w:i/>
        </w:rPr>
        <w:t>The Golden Legend.</w:t>
      </w:r>
      <w:r w:rsidRPr="003C6FFB">
        <w:rPr>
          <w:rFonts w:ascii="Times New Roman" w:hAnsi="Times New Roman" w:cs="Times New Roman"/>
        </w:rPr>
        <w:t xml:space="preserve"> Translated by William Granger Ryan, 154-157. Princeton: Princeton University Press, 1995. </w:t>
      </w:r>
    </w:p>
    <w:p w14:paraId="206B82D6" w14:textId="77777777" w:rsidR="003C6FFB" w:rsidRPr="003C6FFB" w:rsidRDefault="003C6FFB" w:rsidP="003C6FFB">
      <w:pPr>
        <w:spacing w:after="176" w:line="259" w:lineRule="auto"/>
        <w:ind w:left="706" w:hanging="721"/>
        <w:rPr>
          <w:rFonts w:ascii="Times New Roman" w:hAnsi="Times New Roman" w:cs="Times New Roman"/>
        </w:rPr>
      </w:pPr>
      <w:r w:rsidRPr="003C6FFB">
        <w:rPr>
          <w:rFonts w:ascii="Times New Roman" w:hAnsi="Times New Roman" w:cs="Times New Roman"/>
        </w:rPr>
        <w:t xml:space="preserve">“Saint Agnes, Virgin.” In Jacobus De Voragine, </w:t>
      </w:r>
      <w:r w:rsidRPr="003C6FFB">
        <w:rPr>
          <w:rFonts w:ascii="Times New Roman" w:hAnsi="Times New Roman" w:cs="Times New Roman"/>
          <w:i/>
        </w:rPr>
        <w:t>The Golden Legend.</w:t>
      </w:r>
      <w:r w:rsidRPr="003C6FFB">
        <w:rPr>
          <w:rFonts w:ascii="Times New Roman" w:hAnsi="Times New Roman" w:cs="Times New Roman"/>
        </w:rPr>
        <w:t xml:space="preserve"> Translated by William Granger Ryan, 101-104. Princeton: Princeton University Press, 1995. </w:t>
      </w:r>
    </w:p>
    <w:p w14:paraId="57871792" w14:textId="77777777" w:rsidR="003C6FFB" w:rsidRPr="003C6FFB" w:rsidRDefault="003C6FFB" w:rsidP="003C6FFB">
      <w:pPr>
        <w:spacing w:after="181" w:line="259" w:lineRule="auto"/>
        <w:ind w:left="706" w:hanging="721"/>
        <w:rPr>
          <w:rFonts w:ascii="Times New Roman" w:hAnsi="Times New Roman" w:cs="Times New Roman"/>
        </w:rPr>
      </w:pPr>
      <w:r w:rsidRPr="003C6FFB">
        <w:rPr>
          <w:rFonts w:ascii="Times New Roman" w:hAnsi="Times New Roman" w:cs="Times New Roman"/>
        </w:rPr>
        <w:t xml:space="preserve">“Saint Anastasia.” In Jacobus De Voragine, </w:t>
      </w:r>
      <w:r w:rsidRPr="003C6FFB">
        <w:rPr>
          <w:rFonts w:ascii="Times New Roman" w:hAnsi="Times New Roman" w:cs="Times New Roman"/>
          <w:i/>
        </w:rPr>
        <w:t>The Golden Legend.</w:t>
      </w:r>
      <w:r w:rsidRPr="003C6FFB">
        <w:rPr>
          <w:rFonts w:ascii="Times New Roman" w:hAnsi="Times New Roman" w:cs="Times New Roman"/>
        </w:rPr>
        <w:t xml:space="preserve"> Translated by William Granger Ryan, 43-44. Princeton: Princeton University Press, 1995. </w:t>
      </w:r>
    </w:p>
    <w:p w14:paraId="74A00EFB" w14:textId="77777777" w:rsidR="003C6FFB" w:rsidRPr="003C6FFB" w:rsidRDefault="003C6FFB" w:rsidP="003C6FFB">
      <w:pPr>
        <w:spacing w:after="178" w:line="255" w:lineRule="auto"/>
        <w:ind w:left="706" w:hanging="721"/>
        <w:rPr>
          <w:rFonts w:ascii="Times New Roman" w:hAnsi="Times New Roman" w:cs="Times New Roman"/>
        </w:rPr>
      </w:pPr>
      <w:r w:rsidRPr="003C6FFB">
        <w:rPr>
          <w:rFonts w:ascii="Times New Roman" w:hAnsi="Times New Roman" w:cs="Times New Roman"/>
        </w:rPr>
        <w:t xml:space="preserve">“Saint Cecilia.” In Jacobus De Voragine, </w:t>
      </w:r>
      <w:r w:rsidRPr="003C6FFB">
        <w:rPr>
          <w:rFonts w:ascii="Times New Roman" w:hAnsi="Times New Roman" w:cs="Times New Roman"/>
          <w:i/>
        </w:rPr>
        <w:t>The Golden Legend.</w:t>
      </w:r>
      <w:r w:rsidRPr="003C6FFB">
        <w:rPr>
          <w:rFonts w:ascii="Times New Roman" w:hAnsi="Times New Roman" w:cs="Times New Roman"/>
        </w:rPr>
        <w:t xml:space="preserve"> Translated by William Granger Ryan, 704-709. Princeton: Princeton University Press, 1995. </w:t>
      </w:r>
    </w:p>
    <w:p w14:paraId="3B6BB64F" w14:textId="77777777" w:rsidR="003C6FFB" w:rsidRPr="003C6FFB" w:rsidRDefault="003C6FFB" w:rsidP="003C6FFB">
      <w:pPr>
        <w:spacing w:after="165" w:line="255" w:lineRule="auto"/>
        <w:ind w:left="706" w:hanging="721"/>
        <w:rPr>
          <w:rFonts w:ascii="Times New Roman" w:hAnsi="Times New Roman" w:cs="Times New Roman"/>
        </w:rPr>
      </w:pPr>
      <w:r w:rsidRPr="003C6FFB">
        <w:rPr>
          <w:rFonts w:ascii="Times New Roman" w:hAnsi="Times New Roman" w:cs="Times New Roman"/>
        </w:rPr>
        <w:t xml:space="preserve">“Saint Lucy, Virgin” in </w:t>
      </w:r>
      <w:r w:rsidRPr="003C6FFB">
        <w:rPr>
          <w:rFonts w:ascii="Times New Roman" w:hAnsi="Times New Roman" w:cs="Times New Roman"/>
          <w:i/>
        </w:rPr>
        <w:t xml:space="preserve">The Golden Legend. </w:t>
      </w:r>
      <w:r w:rsidRPr="003C6FFB">
        <w:rPr>
          <w:rFonts w:ascii="Times New Roman" w:hAnsi="Times New Roman" w:cs="Times New Roman"/>
        </w:rPr>
        <w:t xml:space="preserve">De Voragine, Jacobus. Translated by William Granger Ryan, 27-29. Princeton: Princeton University Press, 1995. </w:t>
      </w:r>
    </w:p>
    <w:p w14:paraId="2E3DC998" w14:textId="77777777" w:rsidR="003C6FFB" w:rsidRPr="003C6FFB" w:rsidRDefault="003C6FFB" w:rsidP="003C6FFB">
      <w:pPr>
        <w:spacing w:after="155" w:line="259" w:lineRule="auto"/>
        <w:rPr>
          <w:rFonts w:ascii="Times New Roman" w:hAnsi="Times New Roman" w:cs="Times New Roman"/>
        </w:rPr>
      </w:pPr>
      <w:r w:rsidRPr="003C6FFB">
        <w:rPr>
          <w:rFonts w:ascii="Times New Roman" w:hAnsi="Times New Roman" w:cs="Times New Roman"/>
        </w:rPr>
        <w:t xml:space="preserve"> </w:t>
      </w:r>
    </w:p>
    <w:p w14:paraId="136B9E58" w14:textId="77777777" w:rsidR="003C6FFB" w:rsidRPr="003C6FFB" w:rsidRDefault="003C6FFB" w:rsidP="003C6FFB">
      <w:pPr>
        <w:spacing w:after="187" w:line="259" w:lineRule="auto"/>
        <w:ind w:left="-5"/>
        <w:rPr>
          <w:rFonts w:ascii="Times New Roman" w:hAnsi="Times New Roman" w:cs="Times New Roman"/>
        </w:rPr>
      </w:pPr>
      <w:r w:rsidRPr="003C6FFB">
        <w:rPr>
          <w:rFonts w:ascii="Times New Roman" w:hAnsi="Times New Roman" w:cs="Times New Roman"/>
        </w:rPr>
        <w:t xml:space="preserve">Secondary Sources </w:t>
      </w:r>
    </w:p>
    <w:p w14:paraId="22A64C72" w14:textId="77777777" w:rsidR="003C6FFB" w:rsidRPr="003C6FFB" w:rsidRDefault="003C6FFB" w:rsidP="003C6FFB">
      <w:pPr>
        <w:spacing w:line="259" w:lineRule="auto"/>
        <w:ind w:left="-5"/>
        <w:rPr>
          <w:rFonts w:ascii="Times New Roman" w:hAnsi="Times New Roman" w:cs="Times New Roman"/>
        </w:rPr>
      </w:pPr>
      <w:r w:rsidRPr="003C6FFB">
        <w:rPr>
          <w:rFonts w:ascii="Times New Roman" w:hAnsi="Times New Roman" w:cs="Times New Roman"/>
        </w:rPr>
        <w:t xml:space="preserve">“A Christian Woman’s Account of Her Persecution” in </w:t>
      </w:r>
      <w:r w:rsidRPr="003C6FFB">
        <w:rPr>
          <w:rFonts w:ascii="Times New Roman" w:hAnsi="Times New Roman" w:cs="Times New Roman"/>
          <w:i/>
        </w:rPr>
        <w:t xml:space="preserve">Maenads, Martyrs, Matrons, Monastics: </w:t>
      </w:r>
    </w:p>
    <w:p w14:paraId="60CF66E9" w14:textId="77777777" w:rsidR="003C6FFB" w:rsidRPr="003C6FFB" w:rsidRDefault="003C6FFB" w:rsidP="003C6FFB">
      <w:pPr>
        <w:spacing w:after="161" w:line="259" w:lineRule="auto"/>
        <w:ind w:left="731"/>
        <w:rPr>
          <w:rFonts w:ascii="Times New Roman" w:hAnsi="Times New Roman" w:cs="Times New Roman"/>
        </w:rPr>
      </w:pPr>
      <w:r w:rsidRPr="003C6FFB">
        <w:rPr>
          <w:rFonts w:ascii="Times New Roman" w:hAnsi="Times New Roman" w:cs="Times New Roman"/>
          <w:i/>
        </w:rPr>
        <w:t>A Sourcebook of Women’s’ Religions in the Greco-Roman World</w:t>
      </w:r>
      <w:r w:rsidRPr="003C6FFB">
        <w:rPr>
          <w:rFonts w:ascii="Times New Roman" w:hAnsi="Times New Roman" w:cs="Times New Roman"/>
        </w:rPr>
        <w:t xml:space="preserve">. Edited by Ross S. Kraemer, 96-107. Philadelphia: Fortress Press, 1988. </w:t>
      </w:r>
    </w:p>
    <w:p w14:paraId="0FABED03" w14:textId="77777777" w:rsidR="003C6FFB" w:rsidRPr="003C6FFB" w:rsidRDefault="003C6FFB" w:rsidP="003C6FFB">
      <w:pPr>
        <w:spacing w:after="144" w:line="269" w:lineRule="auto"/>
        <w:ind w:left="716" w:hanging="731"/>
        <w:rPr>
          <w:rFonts w:ascii="Times New Roman" w:hAnsi="Times New Roman" w:cs="Times New Roman"/>
        </w:rPr>
      </w:pPr>
      <w:r w:rsidRPr="003C6FFB">
        <w:rPr>
          <w:rFonts w:ascii="Times New Roman" w:hAnsi="Times New Roman" w:cs="Times New Roman"/>
        </w:rPr>
        <w:t xml:space="preserve">Booton, Diane E. “Variation on a Limbourg Theme: Saint Anastasia at the Nativity in a Getty Book of Hours and in French Medieval Literature.” </w:t>
      </w:r>
      <w:r w:rsidRPr="003C6FFB">
        <w:rPr>
          <w:rFonts w:ascii="Times New Roman" w:hAnsi="Times New Roman" w:cs="Times New Roman"/>
          <w:i/>
        </w:rPr>
        <w:t xml:space="preserve">Fifteenth-Century Studies </w:t>
      </w:r>
      <w:r w:rsidRPr="003C6FFB">
        <w:rPr>
          <w:rFonts w:ascii="Times New Roman" w:hAnsi="Times New Roman" w:cs="Times New Roman"/>
        </w:rPr>
        <w:t xml:space="preserve">29 (2004): 52-79. </w:t>
      </w:r>
    </w:p>
    <w:p w14:paraId="51B042F0" w14:textId="77777777" w:rsidR="003C6FFB" w:rsidRPr="003C6FFB" w:rsidRDefault="003C6FFB" w:rsidP="003C6FFB">
      <w:pPr>
        <w:spacing w:after="161" w:line="257" w:lineRule="auto"/>
        <w:ind w:left="716" w:hanging="731"/>
        <w:rPr>
          <w:rFonts w:ascii="Times New Roman" w:hAnsi="Times New Roman" w:cs="Times New Roman"/>
        </w:rPr>
      </w:pPr>
      <w:r w:rsidRPr="003C6FFB">
        <w:rPr>
          <w:rFonts w:ascii="Times New Roman" w:hAnsi="Times New Roman" w:cs="Times New Roman"/>
        </w:rPr>
        <w:t xml:space="preserve">Cohick, Lynn H. </w:t>
      </w:r>
      <w:r w:rsidRPr="003C6FFB">
        <w:rPr>
          <w:rFonts w:ascii="Times New Roman" w:hAnsi="Times New Roman" w:cs="Times New Roman"/>
          <w:i/>
        </w:rPr>
        <w:t xml:space="preserve">Women in the World of the Earliest Christians: Illuminating Ancient Ways of Life. </w:t>
      </w:r>
      <w:r w:rsidRPr="003C6FFB">
        <w:rPr>
          <w:rFonts w:ascii="Times New Roman" w:hAnsi="Times New Roman" w:cs="Times New Roman"/>
        </w:rPr>
        <w:t xml:space="preserve">Grand Rapids: Baker Academic, 2009. </w:t>
      </w:r>
    </w:p>
    <w:p w14:paraId="7204C986" w14:textId="77777777" w:rsidR="003C6FFB" w:rsidRPr="003C6FFB" w:rsidRDefault="003C6FFB" w:rsidP="003C6FFB">
      <w:pPr>
        <w:spacing w:line="259" w:lineRule="auto"/>
        <w:ind w:left="706" w:hanging="721"/>
        <w:rPr>
          <w:rFonts w:ascii="Times New Roman" w:hAnsi="Times New Roman" w:cs="Times New Roman"/>
        </w:rPr>
      </w:pPr>
      <w:r w:rsidRPr="003C6FFB">
        <w:rPr>
          <w:rFonts w:ascii="Times New Roman" w:hAnsi="Times New Roman" w:cs="Times New Roman"/>
        </w:rPr>
        <w:t xml:space="preserve">Heffernan, Thomas J. </w:t>
      </w:r>
      <w:r w:rsidRPr="003C6FFB">
        <w:rPr>
          <w:rFonts w:ascii="Times New Roman" w:hAnsi="Times New Roman" w:cs="Times New Roman"/>
          <w:i/>
        </w:rPr>
        <w:t xml:space="preserve">The Passion of Perpetua and Felicity. </w:t>
      </w:r>
      <w:r w:rsidRPr="003C6FFB">
        <w:rPr>
          <w:rFonts w:ascii="Times New Roman" w:hAnsi="Times New Roman" w:cs="Times New Roman"/>
        </w:rPr>
        <w:t xml:space="preserve">New York. Oxford University Press, 2012. </w:t>
      </w:r>
    </w:p>
    <w:p w14:paraId="3CB41FCD" w14:textId="77777777" w:rsidR="003C6FFB" w:rsidRPr="003C6FFB" w:rsidRDefault="003C6FFB" w:rsidP="003C6FFB">
      <w:pPr>
        <w:spacing w:after="275" w:line="259" w:lineRule="auto"/>
        <w:ind w:left="-5"/>
        <w:rPr>
          <w:rFonts w:ascii="Times New Roman" w:hAnsi="Times New Roman" w:cs="Times New Roman"/>
        </w:rPr>
      </w:pPr>
      <w:r w:rsidRPr="003C6FFB">
        <w:rPr>
          <w:rFonts w:ascii="Times New Roman" w:hAnsi="Times New Roman" w:cs="Times New Roman"/>
        </w:rPr>
        <w:lastRenderedPageBreak/>
        <w:t xml:space="preserve">Heffernan, Thomas J. </w:t>
      </w:r>
      <w:r w:rsidRPr="003C6FFB">
        <w:rPr>
          <w:rFonts w:ascii="Times New Roman" w:hAnsi="Times New Roman" w:cs="Times New Roman"/>
          <w:i/>
        </w:rPr>
        <w:t>Sacred Biography</w:t>
      </w:r>
      <w:r w:rsidRPr="003C6FFB">
        <w:rPr>
          <w:rFonts w:ascii="Times New Roman" w:hAnsi="Times New Roman" w:cs="Times New Roman"/>
        </w:rPr>
        <w:t xml:space="preserve">. New York: Oxford University Press, 1988. </w:t>
      </w:r>
    </w:p>
    <w:p w14:paraId="6534DA8E" w14:textId="77777777" w:rsidR="003C6FFB" w:rsidRPr="003C6FFB" w:rsidRDefault="003C6FFB" w:rsidP="003C6FFB">
      <w:pPr>
        <w:spacing w:after="285" w:line="238" w:lineRule="auto"/>
        <w:ind w:left="551" w:hanging="566"/>
        <w:rPr>
          <w:rFonts w:ascii="Times New Roman" w:hAnsi="Times New Roman" w:cs="Times New Roman"/>
        </w:rPr>
      </w:pPr>
      <w:r w:rsidRPr="003C6FFB">
        <w:rPr>
          <w:rFonts w:ascii="Times New Roman" w:hAnsi="Times New Roman" w:cs="Times New Roman"/>
        </w:rPr>
        <w:t xml:space="preserve">Johnson, Bonnie Lander. </w:t>
      </w:r>
      <w:r w:rsidRPr="003C6FFB">
        <w:rPr>
          <w:rFonts w:ascii="Times New Roman" w:hAnsi="Times New Roman" w:cs="Times New Roman"/>
          <w:i/>
        </w:rPr>
        <w:t>Chastity in Early Stuart Literature and Culture</w:t>
      </w:r>
      <w:r w:rsidRPr="003C6FFB">
        <w:rPr>
          <w:rFonts w:ascii="Times New Roman" w:hAnsi="Times New Roman" w:cs="Times New Roman"/>
        </w:rPr>
        <w:t xml:space="preserve">. Cambridge: Cambridge University Press, 2015. </w:t>
      </w:r>
    </w:p>
    <w:p w14:paraId="37B166AF" w14:textId="77777777" w:rsidR="003C6FFB" w:rsidRPr="003C6FFB" w:rsidRDefault="003C6FFB" w:rsidP="003C6FFB">
      <w:pPr>
        <w:spacing w:after="160" w:line="259" w:lineRule="auto"/>
        <w:ind w:left="-5"/>
        <w:rPr>
          <w:rFonts w:ascii="Times New Roman" w:hAnsi="Times New Roman" w:cs="Times New Roman"/>
        </w:rPr>
      </w:pPr>
      <w:r w:rsidRPr="003C6FFB">
        <w:rPr>
          <w:rFonts w:ascii="Times New Roman" w:hAnsi="Times New Roman" w:cs="Times New Roman"/>
        </w:rPr>
        <w:t xml:space="preserve">Jones, Kathleen. </w:t>
      </w:r>
      <w:r w:rsidRPr="003C6FFB">
        <w:rPr>
          <w:rFonts w:ascii="Times New Roman" w:hAnsi="Times New Roman" w:cs="Times New Roman"/>
          <w:i/>
        </w:rPr>
        <w:t>Women Saints: Lives of Faith and Courage</w:t>
      </w:r>
      <w:r w:rsidRPr="003C6FFB">
        <w:rPr>
          <w:rFonts w:ascii="Times New Roman" w:hAnsi="Times New Roman" w:cs="Times New Roman"/>
        </w:rPr>
        <w:t xml:space="preserve">. Maryknoll: Orbis Books, 1997. </w:t>
      </w:r>
    </w:p>
    <w:p w14:paraId="2BBD0D09" w14:textId="77777777" w:rsidR="003C6FFB" w:rsidRPr="003C6FFB" w:rsidRDefault="003C6FFB" w:rsidP="003C6FFB">
      <w:pPr>
        <w:spacing w:after="161" w:line="257" w:lineRule="auto"/>
        <w:ind w:left="716" w:hanging="731"/>
        <w:rPr>
          <w:rFonts w:ascii="Times New Roman" w:hAnsi="Times New Roman" w:cs="Times New Roman"/>
        </w:rPr>
      </w:pPr>
      <w:r w:rsidRPr="003C6FFB">
        <w:rPr>
          <w:rFonts w:ascii="Times New Roman" w:hAnsi="Times New Roman" w:cs="Times New Roman"/>
        </w:rPr>
        <w:t xml:space="preserve">Moss, Candida R., </w:t>
      </w:r>
      <w:r w:rsidRPr="003C6FFB">
        <w:rPr>
          <w:rFonts w:ascii="Times New Roman" w:hAnsi="Times New Roman" w:cs="Times New Roman"/>
          <w:i/>
        </w:rPr>
        <w:t>Ancient Christian Martyrdom: Diverse Practices, Theologies, and Traditions</w:t>
      </w:r>
      <w:r w:rsidRPr="003C6FFB">
        <w:rPr>
          <w:rFonts w:ascii="Times New Roman" w:hAnsi="Times New Roman" w:cs="Times New Roman"/>
        </w:rPr>
        <w:t xml:space="preserve">. New Haven: Yale University Press, 2012.  </w:t>
      </w:r>
    </w:p>
    <w:p w14:paraId="0EA9D45C" w14:textId="77777777" w:rsidR="003C6FFB" w:rsidRPr="003C6FFB" w:rsidRDefault="003C6FFB" w:rsidP="003C6FFB">
      <w:pPr>
        <w:spacing w:after="161" w:line="257" w:lineRule="auto"/>
        <w:ind w:left="716" w:hanging="731"/>
        <w:rPr>
          <w:rFonts w:ascii="Times New Roman" w:hAnsi="Times New Roman" w:cs="Times New Roman"/>
        </w:rPr>
      </w:pPr>
      <w:r w:rsidRPr="003C6FFB">
        <w:rPr>
          <w:rFonts w:ascii="Times New Roman" w:hAnsi="Times New Roman" w:cs="Times New Roman"/>
        </w:rPr>
        <w:t xml:space="preserve">Moss, Candida, R., </w:t>
      </w:r>
      <w:r w:rsidRPr="003C6FFB">
        <w:rPr>
          <w:rFonts w:ascii="Times New Roman" w:hAnsi="Times New Roman" w:cs="Times New Roman"/>
          <w:i/>
        </w:rPr>
        <w:t>The Other Christs: Imitating Jesus in Ancient Christian Ideologies of Martyrdom</w:t>
      </w:r>
      <w:r w:rsidRPr="003C6FFB">
        <w:rPr>
          <w:rFonts w:ascii="Times New Roman" w:hAnsi="Times New Roman" w:cs="Times New Roman"/>
        </w:rPr>
        <w:t xml:space="preserve">. New York: Oxford University Press, 2010. </w:t>
      </w:r>
    </w:p>
    <w:p w14:paraId="244488D8" w14:textId="77777777" w:rsidR="003C6FFB" w:rsidRPr="003C6FFB" w:rsidRDefault="003C6FFB" w:rsidP="003C6FFB">
      <w:pPr>
        <w:spacing w:after="250" w:line="259" w:lineRule="auto"/>
        <w:ind w:left="-5"/>
        <w:rPr>
          <w:rFonts w:ascii="Times New Roman" w:hAnsi="Times New Roman" w:cs="Times New Roman"/>
        </w:rPr>
      </w:pPr>
      <w:r w:rsidRPr="003C6FFB">
        <w:rPr>
          <w:rFonts w:ascii="Times New Roman" w:hAnsi="Times New Roman" w:cs="Times New Roman"/>
          <w:i/>
        </w:rPr>
        <w:t>Oxford English Dictionary.</w:t>
      </w:r>
      <w:r w:rsidRPr="003C6FFB">
        <w:rPr>
          <w:rFonts w:ascii="Times New Roman" w:hAnsi="Times New Roman" w:cs="Times New Roman"/>
        </w:rPr>
        <w:t xml:space="preserve"> 3rd ed. Oxford: Oxford University Press, 2000.  </w:t>
      </w:r>
    </w:p>
    <w:p w14:paraId="74427B84" w14:textId="77777777" w:rsidR="003C6FFB" w:rsidRPr="003C6FFB" w:rsidRDefault="003C6FFB" w:rsidP="003C6FFB">
      <w:pPr>
        <w:spacing w:line="237" w:lineRule="auto"/>
        <w:ind w:left="706" w:hanging="721"/>
        <w:rPr>
          <w:rFonts w:ascii="Times New Roman" w:hAnsi="Times New Roman" w:cs="Times New Roman"/>
        </w:rPr>
      </w:pPr>
      <w:r w:rsidRPr="003C6FFB">
        <w:rPr>
          <w:rFonts w:ascii="Times New Roman" w:hAnsi="Times New Roman" w:cs="Times New Roman"/>
        </w:rPr>
        <w:t xml:space="preserve">Rotelle, John E., ed. </w:t>
      </w:r>
      <w:r w:rsidRPr="003C6FFB">
        <w:rPr>
          <w:rFonts w:ascii="Times New Roman" w:hAnsi="Times New Roman" w:cs="Times New Roman"/>
          <w:i/>
        </w:rPr>
        <w:t xml:space="preserve">Sermons </w:t>
      </w:r>
      <w:r w:rsidRPr="003C6FFB">
        <w:rPr>
          <w:rFonts w:ascii="Times New Roman" w:hAnsi="Times New Roman" w:cs="Times New Roman"/>
        </w:rPr>
        <w:t>III.8.280</w:t>
      </w:r>
      <w:r w:rsidRPr="003C6FFB">
        <w:rPr>
          <w:rFonts w:ascii="Times New Roman" w:hAnsi="Times New Roman" w:cs="Times New Roman"/>
          <w:i/>
        </w:rPr>
        <w:t xml:space="preserve"> </w:t>
      </w:r>
      <w:r w:rsidRPr="003C6FFB">
        <w:rPr>
          <w:rFonts w:ascii="Times New Roman" w:hAnsi="Times New Roman" w:cs="Times New Roman"/>
        </w:rPr>
        <w:t xml:space="preserve">trans. Edmund Hill. Hyde Park: New City Press, year unknown. http://www.columbia.edu/itc/history/conant/augustine.pdf </w:t>
      </w:r>
    </w:p>
    <w:p w14:paraId="358967DF" w14:textId="77777777" w:rsidR="003C6FFB" w:rsidRPr="003C6FFB" w:rsidRDefault="003C6FFB" w:rsidP="003C6FFB">
      <w:pPr>
        <w:spacing w:line="259" w:lineRule="auto"/>
        <w:rPr>
          <w:rFonts w:ascii="Times New Roman" w:hAnsi="Times New Roman" w:cs="Times New Roman"/>
        </w:rPr>
      </w:pPr>
      <w:r w:rsidRPr="003C6FFB">
        <w:rPr>
          <w:rFonts w:ascii="Times New Roman" w:hAnsi="Times New Roman" w:cs="Times New Roman"/>
        </w:rPr>
        <w:t xml:space="preserve"> </w:t>
      </w:r>
    </w:p>
    <w:p w14:paraId="7362A5A8" w14:textId="77777777" w:rsidR="003C6FFB" w:rsidRPr="003C6FFB" w:rsidRDefault="003C6FFB" w:rsidP="003C6FFB">
      <w:pPr>
        <w:spacing w:after="160" w:line="237" w:lineRule="auto"/>
        <w:ind w:left="706" w:hanging="721"/>
        <w:rPr>
          <w:rFonts w:ascii="Times New Roman" w:hAnsi="Times New Roman" w:cs="Times New Roman"/>
        </w:rPr>
      </w:pPr>
      <w:r w:rsidRPr="003C6FFB">
        <w:rPr>
          <w:rFonts w:ascii="Times New Roman" w:hAnsi="Times New Roman" w:cs="Times New Roman"/>
        </w:rPr>
        <w:t xml:space="preserve">Vorster, Johannes N. “The Blood of the Female Martyrs as the Sperm of the Early Church.” </w:t>
      </w:r>
      <w:r w:rsidRPr="003C6FFB">
        <w:rPr>
          <w:rFonts w:ascii="Times New Roman" w:hAnsi="Times New Roman" w:cs="Times New Roman"/>
          <w:i/>
        </w:rPr>
        <w:t xml:space="preserve">Religion &amp; Theology </w:t>
      </w:r>
      <w:r w:rsidRPr="003C6FFB">
        <w:rPr>
          <w:rFonts w:ascii="Times New Roman" w:hAnsi="Times New Roman" w:cs="Times New Roman"/>
        </w:rPr>
        <w:t xml:space="preserve">10, no. 1 (Jan 2003): 66-99. </w:t>
      </w:r>
    </w:p>
    <w:p w14:paraId="2A7A2175" w14:textId="77777777" w:rsidR="003C6FFB" w:rsidRPr="003C6FFB" w:rsidRDefault="003C6FFB" w:rsidP="003C6FFB">
      <w:pPr>
        <w:spacing w:line="259" w:lineRule="auto"/>
        <w:rPr>
          <w:rFonts w:ascii="Times New Roman" w:hAnsi="Times New Roman" w:cs="Times New Roman"/>
        </w:rPr>
      </w:pPr>
      <w:r w:rsidRPr="003C6FFB">
        <w:rPr>
          <w:rFonts w:ascii="Times New Roman" w:hAnsi="Times New Roman" w:cs="Times New Roman"/>
        </w:rPr>
        <w:t xml:space="preserve"> </w:t>
      </w:r>
    </w:p>
    <w:p w14:paraId="01B614CB" w14:textId="77777777" w:rsidR="00902219" w:rsidRPr="003C6FFB" w:rsidRDefault="00902219" w:rsidP="00776662">
      <w:pPr>
        <w:rPr>
          <w:rFonts w:ascii="Times New Roman" w:hAnsi="Times New Roman" w:cs="Times New Roman"/>
        </w:rPr>
      </w:pPr>
    </w:p>
    <w:p w14:paraId="138BB6EF" w14:textId="77777777" w:rsidR="00902219" w:rsidRPr="003C6FFB" w:rsidRDefault="00902219" w:rsidP="00776662">
      <w:pPr>
        <w:rPr>
          <w:rFonts w:ascii="Times New Roman" w:hAnsi="Times New Roman" w:cs="Times New Roman"/>
          <w:i/>
          <w:iCs/>
          <w:sz w:val="40"/>
          <w:szCs w:val="40"/>
        </w:rPr>
      </w:pPr>
    </w:p>
    <w:p w14:paraId="771E189E" w14:textId="77777777" w:rsidR="00902219" w:rsidRPr="003C6FFB" w:rsidRDefault="00902219" w:rsidP="00776662">
      <w:pPr>
        <w:rPr>
          <w:rFonts w:ascii="Times New Roman" w:hAnsi="Times New Roman" w:cs="Times New Roman"/>
          <w:i/>
          <w:iCs/>
          <w:sz w:val="40"/>
          <w:szCs w:val="40"/>
        </w:rPr>
      </w:pPr>
    </w:p>
    <w:p w14:paraId="0C643A64" w14:textId="77777777" w:rsidR="00902219" w:rsidRDefault="00902219" w:rsidP="00776662">
      <w:pPr>
        <w:rPr>
          <w:rFonts w:ascii="Bodoni MT" w:hAnsi="Bodoni MT" w:cs="Times New Roman"/>
          <w:i/>
          <w:iCs/>
          <w:sz w:val="40"/>
          <w:szCs w:val="40"/>
        </w:rPr>
      </w:pPr>
    </w:p>
    <w:p w14:paraId="0EAC798A" w14:textId="77777777" w:rsidR="00902219" w:rsidRDefault="00902219" w:rsidP="00776662">
      <w:pPr>
        <w:rPr>
          <w:rFonts w:ascii="Bodoni MT" w:hAnsi="Bodoni MT" w:cs="Times New Roman"/>
          <w:i/>
          <w:iCs/>
          <w:sz w:val="40"/>
          <w:szCs w:val="40"/>
        </w:rPr>
      </w:pPr>
    </w:p>
    <w:p w14:paraId="0C4DB1A4" w14:textId="77777777" w:rsidR="00902219" w:rsidRDefault="00902219" w:rsidP="00776662">
      <w:pPr>
        <w:rPr>
          <w:rFonts w:ascii="Bodoni MT" w:hAnsi="Bodoni MT" w:cs="Times New Roman"/>
          <w:i/>
          <w:iCs/>
          <w:sz w:val="40"/>
          <w:szCs w:val="40"/>
        </w:rPr>
      </w:pPr>
    </w:p>
    <w:p w14:paraId="142CAA9F" w14:textId="77777777" w:rsidR="00902219" w:rsidRDefault="00902219" w:rsidP="00776662">
      <w:pPr>
        <w:rPr>
          <w:rFonts w:ascii="Bodoni MT" w:hAnsi="Bodoni MT" w:cs="Times New Roman"/>
          <w:i/>
          <w:iCs/>
          <w:sz w:val="40"/>
          <w:szCs w:val="40"/>
        </w:rPr>
      </w:pPr>
    </w:p>
    <w:p w14:paraId="0D23165E" w14:textId="77777777" w:rsidR="00902219" w:rsidRDefault="00902219" w:rsidP="00776662">
      <w:pPr>
        <w:rPr>
          <w:rFonts w:ascii="Bodoni MT" w:hAnsi="Bodoni MT" w:cs="Times New Roman"/>
          <w:i/>
          <w:iCs/>
          <w:sz w:val="40"/>
          <w:szCs w:val="40"/>
        </w:rPr>
      </w:pPr>
    </w:p>
    <w:p w14:paraId="0DBFAAFA" w14:textId="77777777" w:rsidR="00902219" w:rsidRDefault="00902219" w:rsidP="00776662">
      <w:pPr>
        <w:rPr>
          <w:rFonts w:ascii="Bodoni MT" w:hAnsi="Bodoni MT" w:cs="Times New Roman"/>
          <w:i/>
          <w:iCs/>
          <w:sz w:val="40"/>
          <w:szCs w:val="40"/>
        </w:rPr>
      </w:pPr>
    </w:p>
    <w:p w14:paraId="0F164219" w14:textId="77777777" w:rsidR="00902219" w:rsidRDefault="00902219" w:rsidP="00776662">
      <w:pPr>
        <w:rPr>
          <w:rFonts w:ascii="Bodoni MT" w:hAnsi="Bodoni MT" w:cs="Times New Roman"/>
          <w:i/>
          <w:iCs/>
          <w:sz w:val="40"/>
          <w:szCs w:val="40"/>
        </w:rPr>
      </w:pPr>
    </w:p>
    <w:p w14:paraId="65F67EB9" w14:textId="77777777" w:rsidR="00902219" w:rsidRDefault="00902219" w:rsidP="00776662">
      <w:pPr>
        <w:rPr>
          <w:rFonts w:ascii="Bodoni MT" w:hAnsi="Bodoni MT" w:cs="Times New Roman"/>
          <w:i/>
          <w:iCs/>
          <w:sz w:val="40"/>
          <w:szCs w:val="40"/>
        </w:rPr>
      </w:pPr>
    </w:p>
    <w:p w14:paraId="2A0AC65D" w14:textId="77777777" w:rsidR="007D477C" w:rsidRDefault="007D477C" w:rsidP="00776662">
      <w:pPr>
        <w:rPr>
          <w:rFonts w:ascii="Bodoni MT" w:hAnsi="Bodoni MT" w:cs="Times New Roman"/>
          <w:i/>
          <w:iCs/>
          <w:sz w:val="40"/>
          <w:szCs w:val="40"/>
        </w:rPr>
        <w:sectPr w:rsidR="007D477C" w:rsidSect="00C558EA">
          <w:footnotePr>
            <w:numRestart w:val="eachSect"/>
          </w:footnotePr>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451BB254" w14:textId="6810F2F2" w:rsidR="00776662" w:rsidRDefault="00776662" w:rsidP="00776662">
      <w:pPr>
        <w:rPr>
          <w:rFonts w:ascii="Bodoni MT" w:hAnsi="Bodoni MT" w:cs="Times New Roman"/>
          <w:i/>
          <w:iCs/>
          <w:sz w:val="40"/>
          <w:szCs w:val="40"/>
        </w:rPr>
      </w:pPr>
      <w:r>
        <w:rPr>
          <w:rFonts w:ascii="Bodoni MT" w:hAnsi="Bodoni MT" w:cs="Times New Roman"/>
          <w:i/>
          <w:iCs/>
          <w:sz w:val="40"/>
          <w:szCs w:val="40"/>
        </w:rPr>
        <w:lastRenderedPageBreak/>
        <w:t>Prophet of the Therapeutic</w:t>
      </w:r>
    </w:p>
    <w:p w14:paraId="5295297D" w14:textId="77777777" w:rsidR="00776662" w:rsidRPr="00E61647" w:rsidRDefault="00776662" w:rsidP="00776662">
      <w:pPr>
        <w:rPr>
          <w:rFonts w:ascii="Bodoni MT" w:hAnsi="Bodoni MT" w:cs="Times New Roman"/>
          <w:i/>
          <w:iCs/>
          <w:sz w:val="32"/>
          <w:szCs w:val="32"/>
        </w:rPr>
      </w:pPr>
      <w:r w:rsidRPr="00E61647">
        <w:rPr>
          <w:rFonts w:ascii="Bodoni MT" w:hAnsi="Bodoni MT" w:cs="Times New Roman"/>
          <w:sz w:val="32"/>
          <w:szCs w:val="32"/>
        </w:rPr>
        <w:t>Philip Rieff and the Unmooring of Modernity</w:t>
      </w:r>
    </w:p>
    <w:p w14:paraId="3F658C9B" w14:textId="77777777" w:rsidR="00776662" w:rsidRPr="00BB2859" w:rsidRDefault="00776662" w:rsidP="00776662">
      <w:pPr>
        <w:rPr>
          <w:rFonts w:ascii="Times New Roman" w:hAnsi="Times New Roman" w:cs="Times New Roman"/>
        </w:rPr>
      </w:pPr>
      <w:r>
        <w:rPr>
          <w:rFonts w:ascii="Bodoni MT" w:hAnsi="Bodoni MT" w:cs="Times New Roman"/>
        </w:rPr>
        <w:t>Jacob Payne</w:t>
      </w:r>
    </w:p>
    <w:p w14:paraId="35CFFB3D" w14:textId="77777777" w:rsidR="00776662" w:rsidRDefault="00776662" w:rsidP="00776662">
      <w:pPr>
        <w:rPr>
          <w:rFonts w:ascii="Bodoni MT" w:hAnsi="Bodoni MT" w:cs="Times New Roman"/>
          <w:sz w:val="48"/>
          <w:szCs w:val="48"/>
        </w:rPr>
      </w:pPr>
    </w:p>
    <w:p w14:paraId="06E62057" w14:textId="77777777" w:rsidR="00776662" w:rsidRDefault="00776662" w:rsidP="00776662">
      <w:pPr>
        <w:rPr>
          <w:rFonts w:ascii="Bodoni MT" w:hAnsi="Bodoni MT" w:cs="Times New Roman"/>
          <w:i/>
          <w:iCs/>
          <w:sz w:val="32"/>
          <w:szCs w:val="32"/>
        </w:rPr>
      </w:pPr>
      <w:r>
        <w:rPr>
          <w:rFonts w:ascii="Bodoni MT" w:hAnsi="Bodoni MT" w:cs="Times New Roman"/>
          <w:i/>
          <w:iCs/>
          <w:noProof/>
          <w:sz w:val="32"/>
          <w:szCs w:val="32"/>
        </w:rPr>
        <mc:AlternateContent>
          <mc:Choice Requires="wps">
            <w:drawing>
              <wp:anchor distT="0" distB="0" distL="114300" distR="114300" simplePos="0" relativeHeight="251661312" behindDoc="0" locked="0" layoutInCell="1" allowOverlap="1" wp14:anchorId="1E2BDE6A" wp14:editId="140052B1">
                <wp:simplePos x="0" y="0"/>
                <wp:positionH relativeFrom="margin">
                  <wp:posOffset>683741</wp:posOffset>
                </wp:positionH>
                <wp:positionV relativeFrom="paragraph">
                  <wp:posOffset>185849</wp:posOffset>
                </wp:positionV>
                <wp:extent cx="5272216" cy="0"/>
                <wp:effectExtent l="0" t="0" r="0" b="0"/>
                <wp:wrapNone/>
                <wp:docPr id="724845033" name="Straight Connector 2"/>
                <wp:cNvGraphicFramePr/>
                <a:graphic xmlns:a="http://schemas.openxmlformats.org/drawingml/2006/main">
                  <a:graphicData uri="http://schemas.microsoft.com/office/word/2010/wordprocessingShape">
                    <wps:wsp>
                      <wps:cNvCnPr/>
                      <wps:spPr>
                        <a:xfrm>
                          <a:off x="0" y="0"/>
                          <a:ext cx="5272216"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F26DB2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85pt,14.65pt" to="469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" strokecolor="black [3200]" strokeweight="1pt">
                <v:stroke joinstyle="miter"/>
                <w10:wrap anchorx="margin"/>
              </v:line>
            </w:pict>
          </mc:Fallback>
        </mc:AlternateContent>
      </w:r>
      <w:r w:rsidRPr="00751207">
        <w:rPr>
          <w:rFonts w:ascii="Bodoni MT" w:hAnsi="Bodoni MT" w:cs="Times New Roman"/>
          <w:i/>
          <w:iCs/>
          <w:sz w:val="32"/>
          <w:szCs w:val="32"/>
        </w:rPr>
        <w:t>Abstract</w:t>
      </w:r>
    </w:p>
    <w:p w14:paraId="45736087" w14:textId="77777777" w:rsidR="00776662" w:rsidRPr="00171CF8" w:rsidRDefault="00776662" w:rsidP="00776662">
      <w:pPr>
        <w:rPr>
          <w:rFonts w:ascii="Times New Roman" w:hAnsi="Times New Roman" w:cs="Times New Roman"/>
        </w:rPr>
      </w:pPr>
      <w:r w:rsidRPr="00171CF8">
        <w:rPr>
          <w:rFonts w:ascii="Times New Roman" w:hAnsi="Times New Roman" w:cs="Times New Roman"/>
        </w:rPr>
        <w:t xml:space="preserve">From a sociologist's perspective, Philip Rieff analyzed Western Civilizations's rejection of cultural and religious authority as a means of structuring behavior. He argued that this development was catastrophic because society depended upon constraints and limitations on individual expression. However, rather than instilling behavioral prohibitions, the modern West instead prioritized the cultivation of an internal or therapeutic sense of well-being. Rieff saw that the shift from institutional formation to affirmation would affect the nature of culture in the realms of morality, entertainment, education, politics, science, and faith. He called for the return to a credal culture and the salvific possibilities of justice, mercy, and truth. </w:t>
      </w:r>
    </w:p>
    <w:p w14:paraId="764AFA59" w14:textId="77777777" w:rsidR="00776662" w:rsidRPr="00D77C0E" w:rsidRDefault="00776662" w:rsidP="00776662">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2336" behindDoc="0" locked="0" layoutInCell="1" allowOverlap="1" wp14:anchorId="6B70FD08" wp14:editId="68A8069A">
                <wp:simplePos x="0" y="0"/>
                <wp:positionH relativeFrom="margin">
                  <wp:align>right</wp:align>
                </wp:positionH>
                <wp:positionV relativeFrom="paragraph">
                  <wp:posOffset>51349</wp:posOffset>
                </wp:positionV>
                <wp:extent cx="5947719" cy="0"/>
                <wp:effectExtent l="0" t="0" r="0" b="0"/>
                <wp:wrapNone/>
                <wp:docPr id="169358932" name="Straight Connector 3"/>
                <wp:cNvGraphicFramePr/>
                <a:graphic xmlns:a="http://schemas.openxmlformats.org/drawingml/2006/main">
                  <a:graphicData uri="http://schemas.microsoft.com/office/word/2010/wordprocessingShape">
                    <wps:wsp>
                      <wps:cNvCnPr/>
                      <wps:spPr>
                        <a:xfrm>
                          <a:off x="0" y="0"/>
                          <a:ext cx="5947719"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0C3931CD" id="Straight Connector 3" o:spid="_x0000_s1026" style="position:absolute;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7.1pt,4.05pt" to="885.4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" strokecolor="black [3200]" strokeweight="1pt">
                <v:stroke joinstyle="miter"/>
                <w10:wrap anchorx="margin"/>
              </v:line>
            </w:pict>
          </mc:Fallback>
        </mc:AlternateContent>
      </w:r>
    </w:p>
    <w:p w14:paraId="33560AC6" w14:textId="77777777" w:rsidR="00192F81" w:rsidRDefault="00192F81" w:rsidP="00192F81">
      <w:pPr>
        <w:spacing w:line="480" w:lineRule="auto"/>
        <w:rPr>
          <w:rFonts w:ascii="Times New Roman" w:hAnsi="Times New Roman" w:cs="Times New Roman"/>
        </w:rPr>
      </w:pPr>
      <w:r w:rsidRPr="00DD199C">
        <w:rPr>
          <w:rFonts w:ascii="Times New Roman" w:hAnsi="Times New Roman" w:cs="Times New Roman"/>
        </w:rPr>
        <w:t>A longtime sociology professor at the University of Pennsylvania, Philip Rieff (1922</w:t>
      </w:r>
      <w:r>
        <w:rPr>
          <w:rFonts w:ascii="Times New Roman" w:hAnsi="Times New Roman" w:cs="Times New Roman"/>
        </w:rPr>
        <w:t>-</w:t>
      </w:r>
      <w:r w:rsidRPr="00DD199C">
        <w:rPr>
          <w:rFonts w:ascii="Times New Roman" w:hAnsi="Times New Roman" w:cs="Times New Roman"/>
        </w:rPr>
        <w:t>2006) analyzed the telltale signs of a culture approaching its crisis point. Well-versed in history, literature, and psychology, Rieff traced the inward turn in the human quest for meaning towards therapeutic solutions and away from traditional answers invoking religious authority. Following Sigmund Freud, Rieff developed a theory of culture based upon moral prohibitions which Rieff termed “interdicts.” Underpinned by religion, interdicts played an essential role in maintaining a culture’s vitality and longevity. But with the modern assault on faith and metaphysical claims to absolute truth, the strength of the interdicts started to wane.</w:t>
      </w:r>
      <w:r>
        <w:rPr>
          <w:rFonts w:ascii="Times New Roman" w:hAnsi="Times New Roman" w:cs="Times New Roman"/>
        </w:rPr>
        <w:t xml:space="preserve"> Rieff warned that—i</w:t>
      </w:r>
      <w:r w:rsidRPr="00DD199C">
        <w:rPr>
          <w:rFonts w:ascii="Times New Roman" w:hAnsi="Times New Roman" w:cs="Times New Roman"/>
        </w:rPr>
        <w:t>n an unprecedented historical shift</w:t>
      </w:r>
      <w:r>
        <w:rPr>
          <w:rFonts w:ascii="Times New Roman" w:hAnsi="Times New Roman" w:cs="Times New Roman"/>
        </w:rPr>
        <w:t>—</w:t>
      </w:r>
      <w:r w:rsidRPr="00DD199C">
        <w:rPr>
          <w:rFonts w:ascii="Times New Roman" w:hAnsi="Times New Roman" w:cs="Times New Roman"/>
        </w:rPr>
        <w:t>Western society</w:t>
      </w:r>
      <w:r>
        <w:rPr>
          <w:rFonts w:ascii="Times New Roman" w:hAnsi="Times New Roman" w:cs="Times New Roman"/>
        </w:rPr>
        <w:t xml:space="preserve"> had undermined </w:t>
      </w:r>
      <w:r w:rsidRPr="00DD199C">
        <w:rPr>
          <w:rFonts w:ascii="Times New Roman" w:hAnsi="Times New Roman" w:cs="Times New Roman"/>
        </w:rPr>
        <w:t xml:space="preserve">its cultural basis by abolishing interdicts and lifting all restraints and pressures on the individual. </w:t>
      </w:r>
    </w:p>
    <w:p w14:paraId="06E80F6C" w14:textId="77777777"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 xml:space="preserve">Through his corpus of work, Rieff explicated how this new era resulted in untenable patterns of behavior and thought. In the absence of belief, materialistic comforts and individualistic attitudes reigned triumphant. Rieff identified the modern zeitgeist as therapeutic— or devoted to inner personal happiness—giving rise to psychologized conceptions of entertainment, education, and government. Mindful of the devastation wrought by </w:t>
      </w:r>
      <w:r w:rsidRPr="00DD199C">
        <w:rPr>
          <w:rFonts w:ascii="Times New Roman" w:hAnsi="Times New Roman" w:cs="Times New Roman"/>
        </w:rPr>
        <w:lastRenderedPageBreak/>
        <w:t>totalitarianism, Rieff especially feared the implications of an unchecked marriage between science and politics in a therapeutic age. Against the anti-cultural impulses of his day, Rieff urged for a return to a credal culture that would lead to the rediscovery of evil and guilt and thus the need for the sacred.</w:t>
      </w:r>
    </w:p>
    <w:p w14:paraId="0BDC1A09" w14:textId="7C5597A6" w:rsidR="003741E8"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 xml:space="preserve"> In his 1966 book </w:t>
      </w:r>
      <w:r w:rsidRPr="00532035">
        <w:rPr>
          <w:rFonts w:ascii="Times New Roman" w:hAnsi="Times New Roman" w:cs="Times New Roman"/>
          <w:i/>
          <w:iCs/>
        </w:rPr>
        <w:t>The Triumph of the Therapeutic</w:t>
      </w:r>
      <w:r w:rsidRPr="00DD199C">
        <w:rPr>
          <w:rFonts w:ascii="Times New Roman" w:hAnsi="Times New Roman" w:cs="Times New Roman"/>
        </w:rPr>
        <w:t>, Rieff announced the death of culture and the advent of an anti-culture. Culture, vested with religious or otherwise sacred authority, formerly dictated acceptable and unacceptable behavior via its institutions. Rieff observed, “a culture survives principally…by the power of its institutions to bind and loose men in the conduct of their affairs with reasons which sink so deep into the self that they become commonly and implicitly understood.”</w:t>
      </w:r>
      <w:r w:rsidR="003741E8">
        <w:rPr>
          <w:rStyle w:val="FootnoteReference"/>
          <w:rFonts w:ascii="Times New Roman" w:hAnsi="Times New Roman" w:cs="Times New Roman"/>
        </w:rPr>
        <w:footnoteReference w:customMarkFollows="1" w:id="109"/>
        <w:t>1</w:t>
      </w:r>
      <w:r w:rsidRPr="00DD199C">
        <w:rPr>
          <w:rFonts w:ascii="Times New Roman" w:hAnsi="Times New Roman" w:cs="Times New Roman"/>
        </w:rPr>
        <w:t xml:space="preserve"> A functioning society require</w:t>
      </w:r>
      <w:r>
        <w:rPr>
          <w:rFonts w:ascii="Times New Roman" w:hAnsi="Times New Roman" w:cs="Times New Roman"/>
        </w:rPr>
        <w:t>d</w:t>
      </w:r>
      <w:r w:rsidRPr="00DD199C">
        <w:rPr>
          <w:rFonts w:ascii="Times New Roman" w:hAnsi="Times New Roman" w:cs="Times New Roman"/>
        </w:rPr>
        <w:t xml:space="preserve"> robust institutions to generationally instill its fundamental prohibitions and principles in order to create shared meaning and conduct.</w:t>
      </w:r>
      <w:r w:rsidR="003741E8">
        <w:rPr>
          <w:rStyle w:val="FootnoteReference"/>
          <w:rFonts w:ascii="Times New Roman" w:hAnsi="Times New Roman" w:cs="Times New Roman"/>
        </w:rPr>
        <w:footnoteReference w:customMarkFollows="1" w:id="110"/>
        <w:t>2</w:t>
      </w:r>
      <w:r w:rsidRPr="00DD199C">
        <w:rPr>
          <w:rFonts w:ascii="Times New Roman" w:hAnsi="Times New Roman" w:cs="Times New Roman"/>
        </w:rPr>
        <w:t xml:space="preserve"> Rieff elaborated, “a culture must communicate ideals, setting as internalities those distinctions between right actions and wrong that unite men and permit them the fundamental pleasure of agreement.”</w:t>
      </w:r>
      <w:r w:rsidR="00B23E25">
        <w:rPr>
          <w:rStyle w:val="FootnoteReference"/>
          <w:rFonts w:ascii="Times New Roman" w:hAnsi="Times New Roman" w:cs="Times New Roman"/>
        </w:rPr>
        <w:footnoteReference w:customMarkFollows="1" w:id="111"/>
        <w:t>3</w:t>
      </w:r>
      <w:r w:rsidRPr="00DD199C">
        <w:rPr>
          <w:rFonts w:ascii="Times New Roman" w:hAnsi="Times New Roman" w:cs="Times New Roman"/>
        </w:rPr>
        <w:t xml:space="preserve"> </w:t>
      </w:r>
    </w:p>
    <w:p w14:paraId="2D0EC916" w14:textId="2B688A2F"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Moreover, a healthy culture directed the individual outward and toward a communal purpose (e.g., religion or government). Here, Rieff took up Freud’s notion of sublimination— interdicts repress human instinct leading to political, artistic, or other cultural activities.</w:t>
      </w:r>
      <w:r w:rsidR="00A666CD">
        <w:rPr>
          <w:rStyle w:val="FootnoteReference"/>
          <w:rFonts w:ascii="Times New Roman" w:hAnsi="Times New Roman" w:cs="Times New Roman"/>
        </w:rPr>
        <w:footnoteReference w:customMarkFollows="1" w:id="112"/>
        <w:t>4</w:t>
      </w:r>
      <w:r w:rsidRPr="00DD199C">
        <w:rPr>
          <w:rFonts w:ascii="Times New Roman" w:hAnsi="Times New Roman" w:cs="Times New Roman"/>
        </w:rPr>
        <w:t xml:space="preserve">For </w:t>
      </w:r>
      <w:r w:rsidRPr="00DD199C">
        <w:rPr>
          <w:rFonts w:ascii="Times New Roman" w:hAnsi="Times New Roman" w:cs="Times New Roman"/>
        </w:rPr>
        <w:lastRenderedPageBreak/>
        <w:t>Rieff, culture existed to limit the utter freedom and self-expression of the individual.</w:t>
      </w:r>
      <w:r w:rsidR="00A666CD">
        <w:rPr>
          <w:rStyle w:val="FootnoteReference"/>
          <w:rFonts w:ascii="Times New Roman" w:hAnsi="Times New Roman" w:cs="Times New Roman"/>
        </w:rPr>
        <w:footnoteReference w:customMarkFollows="1" w:id="113"/>
        <w:t>5</w:t>
      </w:r>
      <w:r w:rsidRPr="00DD199C">
        <w:rPr>
          <w:rFonts w:ascii="Times New Roman" w:hAnsi="Times New Roman" w:cs="Times New Roman"/>
        </w:rPr>
        <w:t xml:space="preserve"> Rieff asserted, “to prevent the expression of everything: that is the irreducible function of culture.</w:t>
      </w:r>
      <w:r>
        <w:rPr>
          <w:rFonts w:ascii="Times New Roman" w:hAnsi="Times New Roman" w:cs="Times New Roman"/>
        </w:rPr>
        <w:t>”</w:t>
      </w:r>
      <w:r w:rsidR="00A666CD">
        <w:rPr>
          <w:rStyle w:val="FootnoteReference"/>
          <w:rFonts w:ascii="Times New Roman" w:hAnsi="Times New Roman" w:cs="Times New Roman"/>
        </w:rPr>
        <w:footnoteReference w:customMarkFollows="1" w:id="114"/>
        <w:t>6</w:t>
      </w:r>
      <w:r w:rsidR="00A666CD">
        <w:rPr>
          <w:rFonts w:ascii="Times New Roman" w:hAnsi="Times New Roman" w:cs="Times New Roman"/>
        </w:rPr>
        <w:t xml:space="preserve"> </w:t>
      </w:r>
      <w:r w:rsidRPr="00DD199C">
        <w:rPr>
          <w:rFonts w:ascii="Times New Roman" w:hAnsi="Times New Roman" w:cs="Times New Roman"/>
        </w:rPr>
        <w:t>Furthermore, Rieff reasoned that, “a culture survives the assault of sheer possibility against it only so far as the members of a culture learn…how to narrow the range of choices otherwise open. Safely inside their culture—more precisely, the culture safely inside them—members of it are disposed to enact only certain possibilities of behavior.”</w:t>
      </w:r>
      <w:r w:rsidR="00691CE0">
        <w:rPr>
          <w:rStyle w:val="FootnoteReference"/>
          <w:rFonts w:ascii="Times New Roman" w:hAnsi="Times New Roman" w:cs="Times New Roman"/>
        </w:rPr>
        <w:footnoteReference w:customMarkFollows="1" w:id="115"/>
        <w:t>7</w:t>
      </w:r>
      <w:r w:rsidRPr="00DD199C">
        <w:rPr>
          <w:rFonts w:ascii="Times New Roman" w:hAnsi="Times New Roman" w:cs="Times New Roman"/>
        </w:rPr>
        <w:t xml:space="preserve"> Culture was set up as a “system of moralizing demands” so that one’s potential for destructiveness would be mitigated and so that the individual might safely enter the community.</w:t>
      </w:r>
      <w:r w:rsidR="00691CE0">
        <w:rPr>
          <w:rStyle w:val="FootnoteReference"/>
          <w:rFonts w:ascii="Times New Roman" w:hAnsi="Times New Roman" w:cs="Times New Roman"/>
        </w:rPr>
        <w:footnoteReference w:customMarkFollows="1" w:id="116"/>
        <w:t>8</w:t>
      </w:r>
      <w:r w:rsidRPr="00DD199C">
        <w:rPr>
          <w:rFonts w:ascii="Times New Roman" w:hAnsi="Times New Roman" w:cs="Times New Roman"/>
        </w:rPr>
        <w:t xml:space="preserve"> In the era of religion, “limitation of possibility was the very design of salvation.”</w:t>
      </w:r>
      <w:r w:rsidR="00691CE0">
        <w:rPr>
          <w:rStyle w:val="FootnoteReference"/>
          <w:rFonts w:ascii="Times New Roman" w:hAnsi="Times New Roman" w:cs="Times New Roman"/>
        </w:rPr>
        <w:footnoteReference w:customMarkFollows="1" w:id="117"/>
        <w:t>9</w:t>
      </w:r>
      <w:r w:rsidRPr="00DD199C">
        <w:rPr>
          <w:rFonts w:ascii="Times New Roman" w:hAnsi="Times New Roman" w:cs="Times New Roman"/>
        </w:rPr>
        <w:t xml:space="preserve"> Rieff contended that, “until the present culture rose to threaten its predecessor, our demand system could be specified by the kind of creedal hedges it raised around impulses of independence or autonomy from communal purpose.”</w:t>
      </w:r>
      <w:r w:rsidR="00691CE0">
        <w:rPr>
          <w:rStyle w:val="FootnoteReference"/>
          <w:rFonts w:ascii="Times New Roman" w:hAnsi="Times New Roman" w:cs="Times New Roman"/>
        </w:rPr>
        <w:footnoteReference w:customMarkFollows="1" w:id="118"/>
        <w:t>10</w:t>
      </w:r>
      <w:r w:rsidR="00691CE0">
        <w:rPr>
          <w:rFonts w:ascii="Times New Roman" w:hAnsi="Times New Roman" w:cs="Times New Roman"/>
        </w:rPr>
        <w:t xml:space="preserve"> </w:t>
      </w:r>
      <w:r w:rsidRPr="00DD199C">
        <w:rPr>
          <w:rFonts w:ascii="Times New Roman" w:hAnsi="Times New Roman" w:cs="Times New Roman"/>
        </w:rPr>
        <w:t>Despite leaving behind a sense of the sacred, modern culture still required a regulatory system that stressed self-control in service to communal ends.</w:t>
      </w:r>
      <w:r w:rsidR="00691CE0">
        <w:rPr>
          <w:rStyle w:val="FootnoteReference"/>
          <w:rFonts w:ascii="Times New Roman" w:hAnsi="Times New Roman" w:cs="Times New Roman"/>
        </w:rPr>
        <w:footnoteReference w:customMarkFollows="1" w:id="119"/>
        <w:t>11</w:t>
      </w:r>
    </w:p>
    <w:p w14:paraId="2B45188D" w14:textId="13A4173F"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lastRenderedPageBreak/>
        <w:t>In Rieff’s theory of culture, society is upheld by the tension between what it forbids (interdicts) and what it permits (remissions). Rieff argued that a radical reordering of interdicts and remissions was behind the cultural disintegration in the West. Remissions, or the sporadic softening of the rules (such as during special social occasions like holidays or festivals), had now become commonplace whereas before they had been subordinated to the overarching interdictory model.</w:t>
      </w:r>
      <w:r w:rsidR="00E75B0C">
        <w:rPr>
          <w:rStyle w:val="FootnoteReference"/>
          <w:rFonts w:ascii="Times New Roman" w:hAnsi="Times New Roman" w:cs="Times New Roman"/>
        </w:rPr>
        <w:footnoteReference w:customMarkFollows="1" w:id="120"/>
        <w:t>12</w:t>
      </w:r>
      <w:r>
        <w:rPr>
          <w:rFonts w:ascii="Times New Roman" w:hAnsi="Times New Roman" w:cs="Times New Roman"/>
        </w:rPr>
        <w:t xml:space="preserve"> </w:t>
      </w:r>
      <w:r w:rsidRPr="00DD199C">
        <w:rPr>
          <w:rFonts w:ascii="Times New Roman" w:hAnsi="Times New Roman" w:cs="Times New Roman"/>
        </w:rPr>
        <w:t xml:space="preserve">According to Rieff, it was because remissions had overtaken interdicts as the defining cultural characteristic that societal catastrophe now loomed. Rieff held that, “it is </w:t>
      </w:r>
      <w:r w:rsidRPr="009F126A">
        <w:rPr>
          <w:rFonts w:ascii="Times New Roman" w:hAnsi="Times New Roman" w:cs="Times New Roman"/>
          <w:i/>
          <w:iCs/>
        </w:rPr>
        <w:t>no</w:t>
      </w:r>
      <w:r w:rsidRPr="00DD199C">
        <w:rPr>
          <w:rFonts w:ascii="Times New Roman" w:hAnsi="Times New Roman" w:cs="Times New Roman"/>
        </w:rPr>
        <w:t xml:space="preserve">, rather than </w:t>
      </w:r>
      <w:r w:rsidRPr="009F126A">
        <w:rPr>
          <w:rFonts w:ascii="Times New Roman" w:hAnsi="Times New Roman" w:cs="Times New Roman"/>
          <w:i/>
          <w:iCs/>
        </w:rPr>
        <w:t>yes</w:t>
      </w:r>
      <w:r w:rsidRPr="00DD199C">
        <w:rPr>
          <w:rFonts w:ascii="Times New Roman" w:hAnsi="Times New Roman" w:cs="Times New Roman"/>
        </w:rPr>
        <w:t>, upon which all culture and inner development of character, depend.”</w:t>
      </w:r>
      <w:r w:rsidR="00E75B0C">
        <w:rPr>
          <w:rStyle w:val="FootnoteReference"/>
          <w:rFonts w:ascii="Times New Roman" w:hAnsi="Times New Roman" w:cs="Times New Roman"/>
        </w:rPr>
        <w:footnoteReference w:customMarkFollows="1" w:id="121"/>
        <w:t>13</w:t>
      </w:r>
      <w:r w:rsidRPr="00DD199C">
        <w:rPr>
          <w:rFonts w:ascii="Times New Roman" w:hAnsi="Times New Roman" w:cs="Times New Roman"/>
        </w:rPr>
        <w:t>Instead of checking personal desire and self-expression, contemporary culture rather encouraged the pursuit of one’s impulses and favored lifestyle. In a suicidal turn, contemporary culture yielded</w:t>
      </w:r>
      <w:r>
        <w:rPr>
          <w:rFonts w:ascii="Times New Roman" w:hAnsi="Times New Roman" w:cs="Times New Roman"/>
        </w:rPr>
        <w:t xml:space="preserve"> to</w:t>
      </w:r>
      <w:r w:rsidRPr="00DD199C">
        <w:rPr>
          <w:rFonts w:ascii="Times New Roman" w:hAnsi="Times New Roman" w:cs="Times New Roman"/>
        </w:rPr>
        <w:t xml:space="preserve"> excess rather than restraint. </w:t>
      </w:r>
    </w:p>
    <w:p w14:paraId="14CB9E9C" w14:textId="6599A766"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With the dissolution of a shared moral and religious framework in the West, modern individuals “rage to be free of the inherited morality.”</w:t>
      </w:r>
      <w:r w:rsidR="00044738">
        <w:rPr>
          <w:rStyle w:val="FootnoteReference"/>
          <w:rFonts w:ascii="Times New Roman" w:hAnsi="Times New Roman" w:cs="Times New Roman"/>
        </w:rPr>
        <w:footnoteReference w:customMarkFollows="1" w:id="122"/>
        <w:t>14</w:t>
      </w:r>
      <w:r w:rsidRPr="00DD199C">
        <w:rPr>
          <w:rFonts w:ascii="Times New Roman" w:hAnsi="Times New Roman" w:cs="Times New Roman"/>
        </w:rPr>
        <w:t xml:space="preserve"> Rejecting institutional authority and concomitant character formation, modern individuals gaze</w:t>
      </w:r>
      <w:r>
        <w:rPr>
          <w:rFonts w:ascii="Times New Roman" w:hAnsi="Times New Roman" w:cs="Times New Roman"/>
        </w:rPr>
        <w:t>d</w:t>
      </w:r>
      <w:r w:rsidRPr="00DD199C">
        <w:rPr>
          <w:rFonts w:ascii="Times New Roman" w:hAnsi="Times New Roman" w:cs="Times New Roman"/>
        </w:rPr>
        <w:t xml:space="preserve"> inward and locate</w:t>
      </w:r>
      <w:r>
        <w:rPr>
          <w:rFonts w:ascii="Times New Roman" w:hAnsi="Times New Roman" w:cs="Times New Roman"/>
        </w:rPr>
        <w:t>d</w:t>
      </w:r>
      <w:r w:rsidRPr="00DD199C">
        <w:rPr>
          <w:rFonts w:ascii="Times New Roman" w:hAnsi="Times New Roman" w:cs="Times New Roman"/>
        </w:rPr>
        <w:t xml:space="preserve"> the self as a sure moral guide. </w:t>
      </w:r>
      <w:r>
        <w:rPr>
          <w:rFonts w:ascii="Times New Roman" w:hAnsi="Times New Roman" w:cs="Times New Roman"/>
        </w:rPr>
        <w:t>S</w:t>
      </w:r>
      <w:r w:rsidRPr="00DD199C">
        <w:rPr>
          <w:rFonts w:ascii="Times New Roman" w:hAnsi="Times New Roman" w:cs="Times New Roman"/>
        </w:rPr>
        <w:t>ocietal institutions or the broader community</w:t>
      </w:r>
      <w:r>
        <w:rPr>
          <w:rFonts w:ascii="Times New Roman" w:hAnsi="Times New Roman" w:cs="Times New Roman"/>
        </w:rPr>
        <w:t xml:space="preserve"> no longer reinforced e</w:t>
      </w:r>
      <w:r w:rsidRPr="00DD199C">
        <w:rPr>
          <w:rFonts w:ascii="Times New Roman" w:hAnsi="Times New Roman" w:cs="Times New Roman"/>
        </w:rPr>
        <w:t>thical beliefs leftover from previous faith-based eras.</w:t>
      </w:r>
      <w:r w:rsidRPr="00F77A93">
        <w:t xml:space="preserve"> </w:t>
      </w:r>
      <w:r w:rsidRPr="00F77A93">
        <w:rPr>
          <w:rFonts w:ascii="Times New Roman" w:hAnsi="Times New Roman" w:cs="Times New Roman"/>
        </w:rPr>
        <w:t>Instead,</w:t>
      </w:r>
      <w:r>
        <w:rPr>
          <w:rFonts w:ascii="Times New Roman" w:hAnsi="Times New Roman" w:cs="Times New Roman"/>
        </w:rPr>
        <w:t xml:space="preserve"> modern therapeutic identity was shaped in an anti-cultural milieu that exhorted </w:t>
      </w:r>
      <w:r w:rsidRPr="00F77A93">
        <w:rPr>
          <w:rFonts w:ascii="Times New Roman" w:hAnsi="Times New Roman" w:cs="Times New Roman"/>
        </w:rPr>
        <w:t>the “systematic hunting down of all settled convictions</w:t>
      </w:r>
      <w:r>
        <w:rPr>
          <w:rFonts w:ascii="Times New Roman" w:hAnsi="Times New Roman" w:cs="Times New Roman"/>
        </w:rPr>
        <w:t>.</w:t>
      </w:r>
      <w:r w:rsidRPr="00F77A93">
        <w:rPr>
          <w:rFonts w:ascii="Times New Roman" w:hAnsi="Times New Roman" w:cs="Times New Roman"/>
        </w:rPr>
        <w:t>”</w:t>
      </w:r>
      <w:r w:rsidR="00044738">
        <w:rPr>
          <w:rStyle w:val="FootnoteReference"/>
          <w:rFonts w:ascii="Times New Roman" w:hAnsi="Times New Roman" w:cs="Times New Roman"/>
        </w:rPr>
        <w:footnoteReference w:customMarkFollows="1" w:id="123"/>
        <w:t>15</w:t>
      </w:r>
      <w:r w:rsidR="00044738">
        <w:rPr>
          <w:rFonts w:ascii="Times New Roman" w:hAnsi="Times New Roman" w:cs="Times New Roman"/>
        </w:rPr>
        <w:t xml:space="preserve"> </w:t>
      </w:r>
      <w:r>
        <w:rPr>
          <w:rFonts w:ascii="Times New Roman" w:hAnsi="Times New Roman" w:cs="Times New Roman"/>
        </w:rPr>
        <w:t>As a representative type,</w:t>
      </w:r>
      <w:r w:rsidRPr="00DD199C">
        <w:rPr>
          <w:rFonts w:ascii="Times New Roman" w:hAnsi="Times New Roman" w:cs="Times New Roman"/>
        </w:rPr>
        <w:t xml:space="preserve"> </w:t>
      </w:r>
      <w:r>
        <w:rPr>
          <w:rFonts w:ascii="Times New Roman" w:hAnsi="Times New Roman" w:cs="Times New Roman"/>
        </w:rPr>
        <w:t>t</w:t>
      </w:r>
      <w:r w:rsidRPr="00DD199C">
        <w:rPr>
          <w:rFonts w:ascii="Times New Roman" w:hAnsi="Times New Roman" w:cs="Times New Roman"/>
        </w:rPr>
        <w:t>h</w:t>
      </w:r>
      <w:r>
        <w:rPr>
          <w:rFonts w:ascii="Times New Roman" w:hAnsi="Times New Roman" w:cs="Times New Roman"/>
        </w:rPr>
        <w:t>is</w:t>
      </w:r>
      <w:r w:rsidRPr="00DD199C">
        <w:rPr>
          <w:rFonts w:ascii="Times New Roman" w:hAnsi="Times New Roman" w:cs="Times New Roman"/>
        </w:rPr>
        <w:t xml:space="preserve"> secularized and inward-focused individual—what Rieff called </w:t>
      </w:r>
      <w:r w:rsidRPr="00DD199C">
        <w:rPr>
          <w:rFonts w:ascii="Times New Roman" w:hAnsi="Times New Roman" w:cs="Times New Roman"/>
        </w:rPr>
        <w:lastRenderedPageBreak/>
        <w:t xml:space="preserve">psychological man—attempted to find meaning and happiness in an internal sense of well-being rather than in the submission to communal purposes and the sublimination of desires. </w:t>
      </w:r>
    </w:p>
    <w:p w14:paraId="629081CA" w14:textId="5DE6FD42"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Consequently, the individual’s subjective sense of contentment and security replaced an objective understanding of good and evil—entertainment bec</w:t>
      </w:r>
      <w:r>
        <w:rPr>
          <w:rFonts w:ascii="Times New Roman" w:hAnsi="Times New Roman" w:cs="Times New Roman"/>
        </w:rPr>
        <w:t>ame</w:t>
      </w:r>
      <w:r w:rsidRPr="00DD199C">
        <w:rPr>
          <w:rFonts w:ascii="Times New Roman" w:hAnsi="Times New Roman" w:cs="Times New Roman"/>
        </w:rPr>
        <w:t xml:space="preserve"> “the highest good and boredom the most common evil.”</w:t>
      </w:r>
      <w:r w:rsidR="00044738">
        <w:rPr>
          <w:rStyle w:val="FootnoteReference"/>
          <w:rFonts w:ascii="Times New Roman" w:hAnsi="Times New Roman" w:cs="Times New Roman"/>
        </w:rPr>
        <w:footnoteReference w:customMarkFollows="1" w:id="124"/>
        <w:t>16</w:t>
      </w:r>
      <w:r w:rsidR="00820A2D">
        <w:rPr>
          <w:rFonts w:ascii="Times New Roman" w:hAnsi="Times New Roman" w:cs="Times New Roman"/>
        </w:rPr>
        <w:t xml:space="preserve"> </w:t>
      </w:r>
      <w:r w:rsidRPr="00DD199C">
        <w:rPr>
          <w:rFonts w:ascii="Times New Roman" w:hAnsi="Times New Roman" w:cs="Times New Roman"/>
        </w:rPr>
        <w:t>In other words, “if ‘immoral’ materials, rejected under earlier cultural criteria, are therapeutically effective, enhancing somebody’s sense of well-being, then they are useful.”</w:t>
      </w:r>
      <w:r w:rsidR="00820A2D">
        <w:rPr>
          <w:rStyle w:val="FootnoteReference"/>
          <w:rFonts w:ascii="Times New Roman" w:hAnsi="Times New Roman" w:cs="Times New Roman"/>
        </w:rPr>
        <w:footnoteReference w:customMarkFollows="1" w:id="125"/>
        <w:t>17</w:t>
      </w:r>
      <w:r w:rsidR="00820A2D">
        <w:rPr>
          <w:rFonts w:ascii="Times New Roman" w:hAnsi="Times New Roman" w:cs="Times New Roman"/>
        </w:rPr>
        <w:t xml:space="preserve"> </w:t>
      </w:r>
      <w:r w:rsidRPr="00DD199C">
        <w:rPr>
          <w:rFonts w:ascii="Times New Roman" w:hAnsi="Times New Roman" w:cs="Times New Roman"/>
        </w:rPr>
        <w:t>In a therapeutic age, traditional morality becomes inverted and moral freedom is redefined to mean not self-denial and the attainment of virtue but rather simply feeling good about oneself.</w:t>
      </w:r>
      <w:r w:rsidR="00820A2D">
        <w:rPr>
          <w:rStyle w:val="FootnoteReference"/>
          <w:rFonts w:ascii="Times New Roman" w:hAnsi="Times New Roman" w:cs="Times New Roman"/>
        </w:rPr>
        <w:footnoteReference w:customMarkFollows="1" w:id="126"/>
        <w:t>18</w:t>
      </w:r>
      <w:r w:rsidR="00820A2D">
        <w:rPr>
          <w:rFonts w:ascii="Times New Roman" w:hAnsi="Times New Roman" w:cs="Times New Roman"/>
        </w:rPr>
        <w:t xml:space="preserve"> </w:t>
      </w:r>
      <w:r w:rsidRPr="00DD199C">
        <w:rPr>
          <w:rFonts w:ascii="Times New Roman" w:hAnsi="Times New Roman" w:cs="Times New Roman"/>
        </w:rPr>
        <w:t>Thus, the loss of a sense of right and wrong action that sprung from an objective moral order was replaced by a therapeutic sense of self that reviled against any restrictions deemed oppressive. Rieff pronounced, “In the next culture, there are to be no priests, not even secular ones; we are not to be guided—rather, entertainment, stimulation, liberation from the constraints drawn around us…become the functional equivalents of guidance. Where creeds once were, there therapies will be.”</w:t>
      </w:r>
      <w:r w:rsidR="00820A2D">
        <w:rPr>
          <w:rStyle w:val="FootnoteReference"/>
          <w:rFonts w:ascii="Times New Roman" w:hAnsi="Times New Roman" w:cs="Times New Roman"/>
        </w:rPr>
        <w:footnoteReference w:customMarkFollows="1" w:id="127"/>
        <w:t>19</w:t>
      </w:r>
      <w:r w:rsidRPr="00DD199C">
        <w:rPr>
          <w:rFonts w:ascii="Times New Roman" w:hAnsi="Times New Roman" w:cs="Times New Roman"/>
        </w:rPr>
        <w:t xml:space="preserve"> Material abundance and release from moral restraints</w:t>
      </w:r>
      <w:r>
        <w:rPr>
          <w:rFonts w:ascii="Times New Roman" w:hAnsi="Times New Roman" w:cs="Times New Roman"/>
        </w:rPr>
        <w:t xml:space="preserve"> laid</w:t>
      </w:r>
      <w:r w:rsidRPr="00DD199C">
        <w:rPr>
          <w:rFonts w:ascii="Times New Roman" w:hAnsi="Times New Roman" w:cs="Times New Roman"/>
        </w:rPr>
        <w:t xml:space="preserve"> the foundation of psychological man’s “technological Eden,” which boast</w:t>
      </w:r>
      <w:r>
        <w:rPr>
          <w:rFonts w:ascii="Times New Roman" w:hAnsi="Times New Roman" w:cs="Times New Roman"/>
        </w:rPr>
        <w:t>ed</w:t>
      </w:r>
      <w:r w:rsidRPr="00DD199C">
        <w:rPr>
          <w:rFonts w:ascii="Times New Roman" w:hAnsi="Times New Roman" w:cs="Times New Roman"/>
        </w:rPr>
        <w:t xml:space="preserve"> a “secular vision of comfort that render all salvations obsolete.”</w:t>
      </w:r>
      <w:r w:rsidR="00820A2D">
        <w:rPr>
          <w:rStyle w:val="FootnoteReference"/>
          <w:rFonts w:ascii="Times New Roman" w:hAnsi="Times New Roman" w:cs="Times New Roman"/>
        </w:rPr>
        <w:footnoteReference w:customMarkFollows="1" w:id="128"/>
        <w:t>20</w:t>
      </w:r>
    </w:p>
    <w:p w14:paraId="5CD00849" w14:textId="141EFA43" w:rsidR="00192F81" w:rsidRDefault="00192F81" w:rsidP="00192F81">
      <w:pPr>
        <w:spacing w:line="480" w:lineRule="auto"/>
        <w:ind w:firstLine="720"/>
        <w:rPr>
          <w:rFonts w:ascii="Times New Roman" w:hAnsi="Times New Roman" w:cs="Times New Roman"/>
        </w:rPr>
      </w:pPr>
      <w:r>
        <w:rPr>
          <w:rFonts w:ascii="Times New Roman" w:hAnsi="Times New Roman" w:cs="Times New Roman"/>
        </w:rPr>
        <w:lastRenderedPageBreak/>
        <w:t>Infused with the</w:t>
      </w:r>
      <w:r w:rsidRPr="00DD199C">
        <w:rPr>
          <w:rFonts w:ascii="Times New Roman" w:hAnsi="Times New Roman" w:cs="Times New Roman"/>
        </w:rPr>
        <w:t xml:space="preserve"> anti-institutional culture of the therapeutic, society itself </w:t>
      </w:r>
      <w:r>
        <w:rPr>
          <w:rFonts w:ascii="Times New Roman" w:hAnsi="Times New Roman" w:cs="Times New Roman"/>
        </w:rPr>
        <w:t>was</w:t>
      </w:r>
      <w:r w:rsidRPr="00DD199C">
        <w:rPr>
          <w:rFonts w:ascii="Times New Roman" w:hAnsi="Times New Roman" w:cs="Times New Roman"/>
        </w:rPr>
        <w:t xml:space="preserve"> restructured to further the individual’s inner happiness. Communal purposes g</w:t>
      </w:r>
      <w:r>
        <w:rPr>
          <w:rFonts w:ascii="Times New Roman" w:hAnsi="Times New Roman" w:cs="Times New Roman"/>
        </w:rPr>
        <w:t>ave</w:t>
      </w:r>
      <w:r w:rsidRPr="00DD199C">
        <w:rPr>
          <w:rFonts w:ascii="Times New Roman" w:hAnsi="Times New Roman" w:cs="Times New Roman"/>
        </w:rPr>
        <w:t xml:space="preserve"> way to strictly personal recreations that nevertheless demand</w:t>
      </w:r>
      <w:r>
        <w:rPr>
          <w:rFonts w:ascii="Times New Roman" w:hAnsi="Times New Roman" w:cs="Times New Roman"/>
        </w:rPr>
        <w:t>ed</w:t>
      </w:r>
      <w:r w:rsidRPr="00DD199C">
        <w:rPr>
          <w:rFonts w:ascii="Times New Roman" w:hAnsi="Times New Roman" w:cs="Times New Roman"/>
        </w:rPr>
        <w:t xml:space="preserve"> “institutional affirmations.”</w:t>
      </w:r>
      <w:r w:rsidR="00820A2D">
        <w:rPr>
          <w:rStyle w:val="FootnoteReference"/>
          <w:rFonts w:ascii="Times New Roman" w:hAnsi="Times New Roman" w:cs="Times New Roman"/>
        </w:rPr>
        <w:footnoteReference w:customMarkFollows="1" w:id="129"/>
        <w:t>21</w:t>
      </w:r>
      <w:r w:rsidRPr="00DD199C">
        <w:rPr>
          <w:rFonts w:ascii="Times New Roman" w:hAnsi="Times New Roman" w:cs="Times New Roman"/>
        </w:rPr>
        <w:t xml:space="preserve"> Therefore, “where family and nation once stood, or Church and Party, there will be hospital and theater too, the normative institutions of the next culture.”</w:t>
      </w:r>
      <w:r w:rsidR="00820A2D">
        <w:rPr>
          <w:rStyle w:val="FootnoteReference"/>
          <w:rFonts w:ascii="Times New Roman" w:hAnsi="Times New Roman" w:cs="Times New Roman"/>
        </w:rPr>
        <w:footnoteReference w:customMarkFollows="1" w:id="130"/>
        <w:t>22</w:t>
      </w:r>
      <w:r w:rsidRPr="00DD199C">
        <w:rPr>
          <w:rFonts w:ascii="Times New Roman" w:hAnsi="Times New Roman" w:cs="Times New Roman"/>
        </w:rPr>
        <w:t xml:space="preserve"> While religious belief would persist in the therapeutic age, Rieff predicted that it would become intensely personal and would be customized so that it would in no way impinge on the self’s desires or sense of well-being.</w:t>
      </w:r>
      <w:r w:rsidR="00820A2D">
        <w:rPr>
          <w:rStyle w:val="FootnoteReference"/>
          <w:rFonts w:ascii="Times New Roman" w:hAnsi="Times New Roman" w:cs="Times New Roman"/>
        </w:rPr>
        <w:footnoteReference w:customMarkFollows="1" w:id="131"/>
        <w:t>23</w:t>
      </w:r>
      <w:r w:rsidRPr="00DD199C">
        <w:rPr>
          <w:rFonts w:ascii="Times New Roman" w:hAnsi="Times New Roman" w:cs="Times New Roman"/>
        </w:rPr>
        <w:t xml:space="preserve"> Rieff mused that, “the wisdom of the next social order, as I imagine it, would not reside in right doctrine…but rather in doctrines amounting to permission for each man to live an experimental life.”</w:t>
      </w:r>
      <w:r w:rsidR="00820A2D">
        <w:rPr>
          <w:rStyle w:val="FootnoteReference"/>
          <w:rFonts w:ascii="Times New Roman" w:hAnsi="Times New Roman" w:cs="Times New Roman"/>
        </w:rPr>
        <w:footnoteReference w:customMarkFollows="1" w:id="132"/>
        <w:t>24</w:t>
      </w:r>
      <w:r w:rsidR="00820A2D">
        <w:rPr>
          <w:rFonts w:ascii="Times New Roman" w:hAnsi="Times New Roman" w:cs="Times New Roman"/>
        </w:rPr>
        <w:t xml:space="preserve"> </w:t>
      </w:r>
      <w:r w:rsidRPr="00DD199C">
        <w:rPr>
          <w:rFonts w:ascii="Times New Roman" w:hAnsi="Times New Roman" w:cs="Times New Roman"/>
        </w:rPr>
        <w:t>Summing up the difference between the world of the therapeutic and the preceding age of belief, Rieff observed, “religious man was born to be saved; psychological man is born to be pleased. The difference was established long ago, when ‘I believe,’ the cry of the ascetic, lost precedence to ‘one feels,’ the caveat of the therapeutic.”</w:t>
      </w:r>
      <w:r w:rsidR="00820A2D">
        <w:rPr>
          <w:rStyle w:val="FootnoteReference"/>
          <w:rFonts w:ascii="Times New Roman" w:hAnsi="Times New Roman" w:cs="Times New Roman"/>
        </w:rPr>
        <w:footnoteReference w:customMarkFollows="1" w:id="133"/>
        <w:t>25</w:t>
      </w:r>
    </w:p>
    <w:p w14:paraId="33DAB38F" w14:textId="3230C58D"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To further account for this radical cultural shift, Rieff took special aim at the eighteenth and nineteenth</w:t>
      </w:r>
      <w:r>
        <w:rPr>
          <w:rFonts w:ascii="Times New Roman" w:hAnsi="Times New Roman" w:cs="Times New Roman"/>
        </w:rPr>
        <w:t xml:space="preserve">-century </w:t>
      </w:r>
      <w:r w:rsidRPr="00DD199C">
        <w:rPr>
          <w:rFonts w:ascii="Times New Roman" w:hAnsi="Times New Roman" w:cs="Times New Roman"/>
        </w:rPr>
        <w:t>thinkers who pi</w:t>
      </w:r>
      <w:r>
        <w:rPr>
          <w:rFonts w:ascii="Times New Roman" w:hAnsi="Times New Roman" w:cs="Times New Roman"/>
        </w:rPr>
        <w:t>t</w:t>
      </w:r>
      <w:r w:rsidRPr="00DD199C">
        <w:rPr>
          <w:rFonts w:ascii="Times New Roman" w:hAnsi="Times New Roman" w:cs="Times New Roman"/>
        </w:rPr>
        <w:t>t</w:t>
      </w:r>
      <w:r>
        <w:rPr>
          <w:rFonts w:ascii="Times New Roman" w:hAnsi="Times New Roman" w:cs="Times New Roman"/>
        </w:rPr>
        <w:t>ed</w:t>
      </w:r>
      <w:r w:rsidRPr="00DD199C">
        <w:rPr>
          <w:rFonts w:ascii="Times New Roman" w:hAnsi="Times New Roman" w:cs="Times New Roman"/>
        </w:rPr>
        <w:t xml:space="preserve"> “human nature against social order” (one thinks here of a Rousseau, Marx, or Nietzsche).</w:t>
      </w:r>
      <w:r w:rsidR="009377BD">
        <w:rPr>
          <w:rStyle w:val="FootnoteReference"/>
          <w:rFonts w:ascii="Times New Roman" w:hAnsi="Times New Roman" w:cs="Times New Roman"/>
        </w:rPr>
        <w:footnoteReference w:customMarkFollows="1" w:id="134"/>
        <w:t>26</w:t>
      </w:r>
      <w:r w:rsidR="009377BD">
        <w:rPr>
          <w:rFonts w:ascii="Times New Roman" w:hAnsi="Times New Roman" w:cs="Times New Roman"/>
        </w:rPr>
        <w:t xml:space="preserve"> </w:t>
      </w:r>
      <w:r w:rsidRPr="00DD199C">
        <w:rPr>
          <w:rFonts w:ascii="Times New Roman" w:hAnsi="Times New Roman" w:cs="Times New Roman"/>
        </w:rPr>
        <w:t xml:space="preserve">In a separate essay, Rieff pinpointed Oscar Wilde as one </w:t>
      </w:r>
      <w:r w:rsidRPr="00DD199C">
        <w:rPr>
          <w:rFonts w:ascii="Times New Roman" w:hAnsi="Times New Roman" w:cs="Times New Roman"/>
        </w:rPr>
        <w:lastRenderedPageBreak/>
        <w:t>such paradigmatic figure. Rieff described Wilde as illustrative of a new type of individual: “the artist,” a precursor and guide to psychological man. A cultural revolutionary, the artist opposed all social pressures towards conformity and “expresses everything” through the medium of entertainment.</w:t>
      </w:r>
      <w:r w:rsidR="009377BD">
        <w:rPr>
          <w:rStyle w:val="FootnoteReference"/>
          <w:rFonts w:ascii="Times New Roman" w:hAnsi="Times New Roman" w:cs="Times New Roman"/>
        </w:rPr>
        <w:footnoteReference w:customMarkFollows="1" w:id="135"/>
        <w:t>27</w:t>
      </w:r>
      <w:r w:rsidRPr="00DD199C">
        <w:rPr>
          <w:rFonts w:ascii="Times New Roman" w:hAnsi="Times New Roman" w:cs="Times New Roman"/>
        </w:rPr>
        <w:t>Against creeds and culture, the artist value</w:t>
      </w:r>
      <w:r>
        <w:rPr>
          <w:rFonts w:ascii="Times New Roman" w:hAnsi="Times New Roman" w:cs="Times New Roman"/>
        </w:rPr>
        <w:t>d</w:t>
      </w:r>
      <w:r w:rsidRPr="00DD199C">
        <w:rPr>
          <w:rFonts w:ascii="Times New Roman" w:hAnsi="Times New Roman" w:cs="Times New Roman"/>
        </w:rPr>
        <w:t xml:space="preserve"> above all else pure individuality unconstrained by social conditions or demands. </w:t>
      </w:r>
    </w:p>
    <w:p w14:paraId="68274306" w14:textId="2456EB63"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Wilde envisioned a sociali</w:t>
      </w:r>
      <w:r w:rsidR="009377BD">
        <w:rPr>
          <w:rFonts w:ascii="Times New Roman" w:hAnsi="Times New Roman" w:cs="Times New Roman"/>
        </w:rPr>
        <w:t>st</w:t>
      </w:r>
      <w:r w:rsidRPr="00DD199C">
        <w:rPr>
          <w:rFonts w:ascii="Times New Roman" w:hAnsi="Times New Roman" w:cs="Times New Roman"/>
        </w:rPr>
        <w:t xml:space="preserve"> utopia where each person possessed the ultimate freedom to carry out one’s self-actualization.</w:t>
      </w:r>
      <w:r w:rsidR="009377BD">
        <w:rPr>
          <w:rStyle w:val="FootnoteReference"/>
          <w:rFonts w:ascii="Times New Roman" w:hAnsi="Times New Roman" w:cs="Times New Roman"/>
        </w:rPr>
        <w:footnoteReference w:customMarkFollows="1" w:id="136"/>
        <w:t>28</w:t>
      </w:r>
      <w:r w:rsidR="009377BD">
        <w:rPr>
          <w:rFonts w:ascii="Times New Roman" w:hAnsi="Times New Roman" w:cs="Times New Roman"/>
        </w:rPr>
        <w:t xml:space="preserve"> </w:t>
      </w:r>
      <w:r w:rsidRPr="00DD199C">
        <w:rPr>
          <w:rFonts w:ascii="Times New Roman" w:hAnsi="Times New Roman" w:cs="Times New Roman"/>
        </w:rPr>
        <w:t>For Wilde, to abolish the restrictions put on the individual by culture constituted the artist’s fundamental responsibility.</w:t>
      </w:r>
      <w:r w:rsidR="001B5774">
        <w:rPr>
          <w:rStyle w:val="FootnoteReference"/>
          <w:rFonts w:ascii="Times New Roman" w:hAnsi="Times New Roman" w:cs="Times New Roman"/>
        </w:rPr>
        <w:footnoteReference w:customMarkFollows="1" w:id="137"/>
        <w:t>29</w:t>
      </w:r>
      <w:r w:rsidR="001B5774">
        <w:rPr>
          <w:rFonts w:ascii="Times New Roman" w:hAnsi="Times New Roman" w:cs="Times New Roman"/>
        </w:rPr>
        <w:t xml:space="preserve"> </w:t>
      </w:r>
      <w:r w:rsidRPr="00DD199C">
        <w:rPr>
          <w:rFonts w:ascii="Times New Roman" w:hAnsi="Times New Roman" w:cs="Times New Roman"/>
        </w:rPr>
        <w:t xml:space="preserve">By expressing creative “truths” that </w:t>
      </w:r>
      <w:r>
        <w:rPr>
          <w:rFonts w:ascii="Times New Roman" w:hAnsi="Times New Roman" w:cs="Times New Roman"/>
        </w:rPr>
        <w:t>subverted</w:t>
      </w:r>
      <w:r w:rsidRPr="00DD199C">
        <w:rPr>
          <w:rFonts w:ascii="Times New Roman" w:hAnsi="Times New Roman" w:cs="Times New Roman"/>
        </w:rPr>
        <w:t xml:space="preserve"> the old religious ideals, the artist could dismantle the sacred authority that enforced cultural limits. Rieff commented that Wilde’s artistic radicalism thrives in contemporary society since, “the revolutionary arts are now mass entertainment.”</w:t>
      </w:r>
      <w:r w:rsidR="001B5774">
        <w:rPr>
          <w:rStyle w:val="FootnoteReference"/>
          <w:rFonts w:ascii="Times New Roman" w:hAnsi="Times New Roman" w:cs="Times New Roman"/>
        </w:rPr>
        <w:footnoteReference w:customMarkFollows="1" w:id="138"/>
        <w:t>30</w:t>
      </w:r>
      <w:r w:rsidRPr="00DD199C">
        <w:rPr>
          <w:rFonts w:ascii="Times New Roman" w:hAnsi="Times New Roman" w:cs="Times New Roman"/>
        </w:rPr>
        <w:t xml:space="preserve"> Indeed, Wilde's “subversive spirit has been made obsolete by the cheap and massive reproduction of that spirit throughout the educated and televisioned strata of Western society.</w:t>
      </w:r>
      <w:r>
        <w:rPr>
          <w:rFonts w:ascii="Times New Roman" w:hAnsi="Times New Roman" w:cs="Times New Roman"/>
        </w:rPr>
        <w:t>”</w:t>
      </w:r>
      <w:r w:rsidR="001B5774">
        <w:rPr>
          <w:rStyle w:val="FootnoteReference"/>
          <w:rFonts w:ascii="Times New Roman" w:hAnsi="Times New Roman" w:cs="Times New Roman"/>
        </w:rPr>
        <w:footnoteReference w:customMarkFollows="1" w:id="139"/>
        <w:t>31</w:t>
      </w:r>
    </w:p>
    <w:p w14:paraId="4543215C" w14:textId="2717586A"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 xml:space="preserve">Besides pop culture, therapeutic modes of thinking also infected modern education. Hitherto, educational institutions such as school, church, or family attempted to purge the individual of rebellious or destructive tendencies and conform the student to social standards and norms seen as healthy and essential to one’s success and long-term happiness. In the era of the therapeutic, however, those same institutions now must adapt to the individual’s inner conception </w:t>
      </w:r>
      <w:r w:rsidRPr="00DD199C">
        <w:rPr>
          <w:rFonts w:ascii="Times New Roman" w:hAnsi="Times New Roman" w:cs="Times New Roman"/>
        </w:rPr>
        <w:lastRenderedPageBreak/>
        <w:t>of the “good life,” and not the other way around. When human perfection equate</w:t>
      </w:r>
      <w:r>
        <w:rPr>
          <w:rFonts w:ascii="Times New Roman" w:hAnsi="Times New Roman" w:cs="Times New Roman"/>
        </w:rPr>
        <w:t>d</w:t>
      </w:r>
      <w:r w:rsidRPr="00DD199C">
        <w:rPr>
          <w:rFonts w:ascii="Times New Roman" w:hAnsi="Times New Roman" w:cs="Times New Roman"/>
        </w:rPr>
        <w:t xml:space="preserve"> to a sense of well-being that comes with the freedom to act authentically, then restrictive ideas like traditional moral standards or an ultimate reality to which everyone must give an account appear</w:t>
      </w:r>
      <w:r>
        <w:rPr>
          <w:rFonts w:ascii="Times New Roman" w:hAnsi="Times New Roman" w:cs="Times New Roman"/>
        </w:rPr>
        <w:t>ed</w:t>
      </w:r>
      <w:r w:rsidRPr="00DD199C">
        <w:rPr>
          <w:rFonts w:ascii="Times New Roman" w:hAnsi="Times New Roman" w:cs="Times New Roman"/>
        </w:rPr>
        <w:t xml:space="preserve"> oppressive and outdated. Rieff observed, “modern children are often educated early in a rejection of authority and hear little about themselves except praise. At the same time…ideal conceptions of character are mocked as injurious to the creative potential of the child.”</w:t>
      </w:r>
      <w:r w:rsidR="001B5774">
        <w:rPr>
          <w:rStyle w:val="FootnoteReference"/>
          <w:rFonts w:ascii="Times New Roman" w:hAnsi="Times New Roman" w:cs="Times New Roman"/>
        </w:rPr>
        <w:footnoteReference w:customMarkFollows="1" w:id="140"/>
        <w:t>32</w:t>
      </w:r>
    </w:p>
    <w:p w14:paraId="3B639AA4" w14:textId="0B0055B1"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When education stresse</w:t>
      </w:r>
      <w:r>
        <w:rPr>
          <w:rFonts w:ascii="Times New Roman" w:hAnsi="Times New Roman" w:cs="Times New Roman"/>
        </w:rPr>
        <w:t>s</w:t>
      </w:r>
      <w:r w:rsidRPr="00DD199C">
        <w:rPr>
          <w:rFonts w:ascii="Times New Roman" w:hAnsi="Times New Roman" w:cs="Times New Roman"/>
        </w:rPr>
        <w:t xml:space="preserve"> the outward performance and expression of one’s inner identity, rather than conformity, any attempts to curb or suppress the self becomes the pathology of self-repression. Rieff identified Freud as a progenitor of the belief that “nothing is really ‘contrary to nature.’ Human nature includes, in developmental stages that are not eliminable, all our ‘transgressions,’ thus all our ‘transgressions’ are ‘natural.’”</w:t>
      </w:r>
      <w:r w:rsidR="001B5774">
        <w:rPr>
          <w:rStyle w:val="FootnoteReference"/>
          <w:rFonts w:ascii="Times New Roman" w:hAnsi="Times New Roman" w:cs="Times New Roman"/>
        </w:rPr>
        <w:footnoteReference w:customMarkFollows="1" w:id="141"/>
        <w:t>33</w:t>
      </w:r>
      <w:r w:rsidR="001B5774">
        <w:rPr>
          <w:rFonts w:ascii="Times New Roman" w:hAnsi="Times New Roman" w:cs="Times New Roman"/>
        </w:rPr>
        <w:t xml:space="preserve"> </w:t>
      </w:r>
      <w:r w:rsidRPr="00DD199C">
        <w:rPr>
          <w:rFonts w:ascii="Times New Roman" w:hAnsi="Times New Roman" w:cs="Times New Roman"/>
        </w:rPr>
        <w:t>Hence Rieff noted that, “the education of the therapeutic is no longer a moral form. The classical ideal of the good as that which involves a sacrifice of self is not only obsolete but a kind of sickness that must be stopped before it infects our children.”</w:t>
      </w:r>
      <w:r w:rsidR="001B5774">
        <w:rPr>
          <w:rStyle w:val="FootnoteReference"/>
          <w:rFonts w:ascii="Times New Roman" w:hAnsi="Times New Roman" w:cs="Times New Roman"/>
        </w:rPr>
        <w:footnoteReference w:customMarkFollows="1" w:id="142"/>
        <w:t>34</w:t>
      </w:r>
      <w:r w:rsidR="001B5774">
        <w:rPr>
          <w:rFonts w:ascii="Times New Roman" w:hAnsi="Times New Roman" w:cs="Times New Roman"/>
        </w:rPr>
        <w:t xml:space="preserve"> </w:t>
      </w:r>
      <w:r w:rsidRPr="00DD199C">
        <w:rPr>
          <w:rFonts w:ascii="Times New Roman" w:hAnsi="Times New Roman" w:cs="Times New Roman"/>
        </w:rPr>
        <w:t>By stressing self-creation and self-expression, contemporary education affirm</w:t>
      </w:r>
      <w:r>
        <w:rPr>
          <w:rFonts w:ascii="Times New Roman" w:hAnsi="Times New Roman" w:cs="Times New Roman"/>
        </w:rPr>
        <w:t>ed</w:t>
      </w:r>
      <w:r w:rsidRPr="00DD199C">
        <w:rPr>
          <w:rFonts w:ascii="Times New Roman" w:hAnsi="Times New Roman" w:cs="Times New Roman"/>
        </w:rPr>
        <w:t xml:space="preserve"> the individual’s autonomy against the “repressive tyranny of the good.”</w:t>
      </w:r>
      <w:r w:rsidR="001B5774">
        <w:rPr>
          <w:rStyle w:val="FootnoteReference"/>
          <w:rFonts w:ascii="Times New Roman" w:hAnsi="Times New Roman" w:cs="Times New Roman"/>
        </w:rPr>
        <w:footnoteReference w:customMarkFollows="1" w:id="143"/>
        <w:t>35</w:t>
      </w:r>
      <w:r w:rsidRPr="00DD199C">
        <w:rPr>
          <w:rFonts w:ascii="Times New Roman" w:hAnsi="Times New Roman" w:cs="Times New Roman"/>
        </w:rPr>
        <w:t xml:space="preserve"> At its worst, modern education further</w:t>
      </w:r>
      <w:r>
        <w:rPr>
          <w:rFonts w:ascii="Times New Roman" w:hAnsi="Times New Roman" w:cs="Times New Roman"/>
        </w:rPr>
        <w:t>ed</w:t>
      </w:r>
      <w:r w:rsidRPr="00DD199C">
        <w:rPr>
          <w:rFonts w:ascii="Times New Roman" w:hAnsi="Times New Roman" w:cs="Times New Roman"/>
        </w:rPr>
        <w:t xml:space="preserve"> the self’s inner destructive delusions and ignore</w:t>
      </w:r>
      <w:r>
        <w:rPr>
          <w:rFonts w:ascii="Times New Roman" w:hAnsi="Times New Roman" w:cs="Times New Roman"/>
        </w:rPr>
        <w:t>d</w:t>
      </w:r>
      <w:r w:rsidRPr="00DD199C">
        <w:rPr>
          <w:rFonts w:ascii="Times New Roman" w:hAnsi="Times New Roman" w:cs="Times New Roman"/>
        </w:rPr>
        <w:t xml:space="preserve"> outer saving realities.</w:t>
      </w:r>
      <w:r w:rsidR="001A33F4">
        <w:rPr>
          <w:rStyle w:val="FootnoteReference"/>
          <w:rFonts w:ascii="Times New Roman" w:hAnsi="Times New Roman" w:cs="Times New Roman"/>
        </w:rPr>
        <w:footnoteReference w:customMarkFollows="1" w:id="144"/>
        <w:t>36</w:t>
      </w:r>
    </w:p>
    <w:p w14:paraId="773065B5" w14:textId="691693AF"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lastRenderedPageBreak/>
        <w:t>In another insidious development, Western politics too ha</w:t>
      </w:r>
      <w:r>
        <w:rPr>
          <w:rFonts w:ascii="Times New Roman" w:hAnsi="Times New Roman" w:cs="Times New Roman"/>
        </w:rPr>
        <w:t>d</w:t>
      </w:r>
      <w:r w:rsidRPr="00DD199C">
        <w:rPr>
          <w:rFonts w:ascii="Times New Roman" w:hAnsi="Times New Roman" w:cs="Times New Roman"/>
        </w:rPr>
        <w:t xml:space="preserve"> become psychologized. Seeing the therapeutic impulse pervade all levels of society, Rieff announced that therapeutic society would be democratic—if only in its “pursuit of pleasure.”</w:t>
      </w:r>
      <w:r w:rsidR="001A33F4">
        <w:rPr>
          <w:rStyle w:val="FootnoteReference"/>
          <w:rFonts w:ascii="Times New Roman" w:hAnsi="Times New Roman" w:cs="Times New Roman"/>
        </w:rPr>
        <w:footnoteReference w:customMarkFollows="1" w:id="145"/>
        <w:t>37</w:t>
      </w:r>
      <w:r w:rsidR="001A33F4">
        <w:rPr>
          <w:rFonts w:ascii="Times New Roman" w:hAnsi="Times New Roman" w:cs="Times New Roman"/>
        </w:rPr>
        <w:t xml:space="preserve"> </w:t>
      </w:r>
      <w:r w:rsidRPr="00DD199C">
        <w:rPr>
          <w:rFonts w:ascii="Times New Roman" w:hAnsi="Times New Roman" w:cs="Times New Roman"/>
        </w:rPr>
        <w:t>While egalitarian strivings for therapeutic satisfaction would define the political interests of the modern citizen, little concern would be devoted to whether the actual structure of government remained liberal.</w:t>
      </w:r>
      <w:r>
        <w:rPr>
          <w:rFonts w:ascii="Times New Roman" w:hAnsi="Times New Roman" w:cs="Times New Roman"/>
        </w:rPr>
        <w:t xml:space="preserve"> “All governments will be just,” Rieff foresaw, “so long as they secure that consoling plenitude of option in which modern satisfaction consists.”</w:t>
      </w:r>
      <w:r w:rsidR="001A33F4">
        <w:rPr>
          <w:rStyle w:val="FootnoteReference"/>
          <w:rFonts w:ascii="Times New Roman" w:hAnsi="Times New Roman" w:cs="Times New Roman"/>
        </w:rPr>
        <w:footnoteReference w:customMarkFollows="1" w:id="146"/>
        <w:t>38</w:t>
      </w:r>
      <w:r w:rsidRPr="00DD199C">
        <w:rPr>
          <w:rFonts w:ascii="Times New Roman" w:hAnsi="Times New Roman" w:cs="Times New Roman"/>
        </w:rPr>
        <w:t xml:space="preserve"> A citizenry wholly devoted to therapeutic diversions diminishe</w:t>
      </w:r>
      <w:r>
        <w:rPr>
          <w:rFonts w:ascii="Times New Roman" w:hAnsi="Times New Roman" w:cs="Times New Roman"/>
        </w:rPr>
        <w:t>d</w:t>
      </w:r>
      <w:r w:rsidRPr="00DD199C">
        <w:rPr>
          <w:rFonts w:ascii="Times New Roman" w:hAnsi="Times New Roman" w:cs="Times New Roman"/>
        </w:rPr>
        <w:t xml:space="preserve"> the pressure for critical thought in the political sphere.</w:t>
      </w:r>
      <w:r>
        <w:rPr>
          <w:rFonts w:ascii="Times New Roman" w:hAnsi="Times New Roman" w:cs="Times New Roman"/>
        </w:rPr>
        <w:t xml:space="preserve"> Concerned only with maintaining a “democracy of the satisfied,” the new political order reflected the rejection of divine and human accountability that marked the whole of therapeutic society.</w:t>
      </w:r>
      <w:r w:rsidR="001A33F4">
        <w:rPr>
          <w:rStyle w:val="FootnoteReference"/>
          <w:rFonts w:ascii="Times New Roman" w:hAnsi="Times New Roman" w:cs="Times New Roman"/>
        </w:rPr>
        <w:footnoteReference w:customMarkFollows="1" w:id="147"/>
        <w:t>39</w:t>
      </w:r>
      <w:r w:rsidR="001A33F4">
        <w:rPr>
          <w:rFonts w:ascii="Times New Roman" w:hAnsi="Times New Roman" w:cs="Times New Roman"/>
        </w:rPr>
        <w:t xml:space="preserve"> </w:t>
      </w:r>
      <w:r w:rsidRPr="00DD199C">
        <w:rPr>
          <w:rFonts w:ascii="Times New Roman" w:hAnsi="Times New Roman" w:cs="Times New Roman"/>
        </w:rPr>
        <w:t>Accordingly, Rieff suggested that, “psychological man is likely to be indifferent to the ancient question of legitimate authority, of sharing in government, so long as the powers that be preserve social order and manage an economy of abundance.”</w:t>
      </w:r>
      <w:r w:rsidR="001A33F4">
        <w:rPr>
          <w:rStyle w:val="FootnoteReference"/>
          <w:rFonts w:ascii="Times New Roman" w:hAnsi="Times New Roman" w:cs="Times New Roman"/>
        </w:rPr>
        <w:footnoteReference w:customMarkFollows="1" w:id="148"/>
        <w:t>40</w:t>
      </w:r>
      <w:r w:rsidR="001A33F4">
        <w:rPr>
          <w:rFonts w:ascii="Times New Roman" w:hAnsi="Times New Roman" w:cs="Times New Roman"/>
        </w:rPr>
        <w:t xml:space="preserve"> </w:t>
      </w:r>
      <w:r w:rsidRPr="00DD199C">
        <w:rPr>
          <w:rFonts w:ascii="Times New Roman" w:hAnsi="Times New Roman" w:cs="Times New Roman"/>
        </w:rPr>
        <w:t>To assuage every ego and affirm each manner of living be</w:t>
      </w:r>
      <w:r>
        <w:rPr>
          <w:rFonts w:ascii="Times New Roman" w:hAnsi="Times New Roman" w:cs="Times New Roman"/>
        </w:rPr>
        <w:t>came</w:t>
      </w:r>
      <w:r w:rsidRPr="00DD199C">
        <w:rPr>
          <w:rFonts w:ascii="Times New Roman" w:hAnsi="Times New Roman" w:cs="Times New Roman"/>
        </w:rPr>
        <w:t xml:space="preserve"> the chief aim of politics. </w:t>
      </w:r>
    </w:p>
    <w:p w14:paraId="16BAD2AF" w14:textId="08B5DD3A"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Because therapeutic society reject</w:t>
      </w:r>
      <w:r>
        <w:rPr>
          <w:rFonts w:ascii="Times New Roman" w:hAnsi="Times New Roman" w:cs="Times New Roman"/>
        </w:rPr>
        <w:t>ed</w:t>
      </w:r>
      <w:r w:rsidRPr="00DD199C">
        <w:rPr>
          <w:rFonts w:ascii="Times New Roman" w:hAnsi="Times New Roman" w:cs="Times New Roman"/>
        </w:rPr>
        <w:t xml:space="preserve"> history as a source of guidance, past understandings of political liberty as a bulwark against despotism fade and </w:t>
      </w:r>
      <w:r>
        <w:rPr>
          <w:rFonts w:ascii="Times New Roman" w:hAnsi="Times New Roman" w:cs="Times New Roman"/>
        </w:rPr>
        <w:t>are</w:t>
      </w:r>
      <w:r w:rsidRPr="00DD199C">
        <w:rPr>
          <w:rFonts w:ascii="Times New Roman" w:hAnsi="Times New Roman" w:cs="Times New Roman"/>
        </w:rPr>
        <w:t xml:space="preserve"> forgotten. Modern culture ha</w:t>
      </w:r>
      <w:r>
        <w:rPr>
          <w:rFonts w:ascii="Times New Roman" w:hAnsi="Times New Roman" w:cs="Times New Roman"/>
        </w:rPr>
        <w:t>d</w:t>
      </w:r>
      <w:r w:rsidRPr="00DD199C">
        <w:rPr>
          <w:rFonts w:ascii="Times New Roman" w:hAnsi="Times New Roman" w:cs="Times New Roman"/>
        </w:rPr>
        <w:t xml:space="preserve"> exchanged ordered liberty for moral liberation. Rieff saw that, “‘freedom’ itself was once, in our culture, intensely ordered. It was a term with theological, psychological, and legal resonances specific to obediences felt and enacted within…‘culture.’”</w:t>
      </w:r>
      <w:r w:rsidR="00EE4E03">
        <w:rPr>
          <w:rStyle w:val="FootnoteReference"/>
          <w:rFonts w:ascii="Times New Roman" w:hAnsi="Times New Roman" w:cs="Times New Roman"/>
        </w:rPr>
        <w:footnoteReference w:customMarkFollows="1" w:id="149"/>
        <w:t>41</w:t>
      </w:r>
      <w:r w:rsidRPr="00DD199C">
        <w:rPr>
          <w:rFonts w:ascii="Times New Roman" w:hAnsi="Times New Roman" w:cs="Times New Roman"/>
        </w:rPr>
        <w:t xml:space="preserve"> When freedom no longer becomes a </w:t>
      </w:r>
      <w:r w:rsidRPr="00DD199C">
        <w:rPr>
          <w:rFonts w:ascii="Times New Roman" w:hAnsi="Times New Roman" w:cs="Times New Roman"/>
        </w:rPr>
        <w:lastRenderedPageBreak/>
        <w:t>structured avenue into cultured life but instead merely a means to express one’s inner desires, Western civilization itself comes under attack. This therapeutic recasting of freedom destabilize</w:t>
      </w:r>
      <w:r>
        <w:rPr>
          <w:rFonts w:ascii="Times New Roman" w:hAnsi="Times New Roman" w:cs="Times New Roman"/>
        </w:rPr>
        <w:t>d</w:t>
      </w:r>
      <w:r w:rsidRPr="00DD199C">
        <w:rPr>
          <w:rFonts w:ascii="Times New Roman" w:hAnsi="Times New Roman" w:cs="Times New Roman"/>
        </w:rPr>
        <w:t xml:space="preserve"> the necessary restraints that culture place</w:t>
      </w:r>
      <w:r>
        <w:rPr>
          <w:rFonts w:ascii="Times New Roman" w:hAnsi="Times New Roman" w:cs="Times New Roman"/>
        </w:rPr>
        <w:t>d</w:t>
      </w:r>
      <w:r w:rsidRPr="00DD199C">
        <w:rPr>
          <w:rFonts w:ascii="Times New Roman" w:hAnsi="Times New Roman" w:cs="Times New Roman"/>
        </w:rPr>
        <w:t xml:space="preserve"> on the individual to guard against one’s potential for ruin and chaos. Rieff </w:t>
      </w:r>
      <w:r>
        <w:rPr>
          <w:rFonts w:ascii="Times New Roman" w:hAnsi="Times New Roman" w:cs="Times New Roman"/>
        </w:rPr>
        <w:t>maintained</w:t>
      </w:r>
      <w:r w:rsidRPr="00DD199C">
        <w:rPr>
          <w:rFonts w:ascii="Times New Roman" w:hAnsi="Times New Roman" w:cs="Times New Roman"/>
        </w:rPr>
        <w:t xml:space="preserve"> that, “the true savagery comes after the…assumption that all prohibitions are somehow primitive and unjustifiable.”</w:t>
      </w:r>
      <w:r w:rsidR="00EE4E03">
        <w:rPr>
          <w:rStyle w:val="FootnoteReference"/>
          <w:rFonts w:ascii="Times New Roman" w:hAnsi="Times New Roman" w:cs="Times New Roman"/>
        </w:rPr>
        <w:footnoteReference w:customMarkFollows="1" w:id="150"/>
        <w:t>42</w:t>
      </w:r>
    </w:p>
    <w:p w14:paraId="183135B4" w14:textId="6D883E64"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The therapeutic rejection of essential cultural pillars like religion, law, and moral formation create</w:t>
      </w:r>
      <w:r>
        <w:rPr>
          <w:rFonts w:ascii="Times New Roman" w:hAnsi="Times New Roman" w:cs="Times New Roman"/>
        </w:rPr>
        <w:t>d</w:t>
      </w:r>
      <w:r w:rsidRPr="00DD199C">
        <w:rPr>
          <w:rFonts w:ascii="Times New Roman" w:hAnsi="Times New Roman" w:cs="Times New Roman"/>
        </w:rPr>
        <w:t xml:space="preserve"> a powerful vacuum that must be filled by uncivilized human nature and the lust for domination. Thus, when “men no longer grasp their own limits; they become destroyers and worship only under the principle of power.”</w:t>
      </w:r>
      <w:r w:rsidR="00EE4E03">
        <w:rPr>
          <w:rStyle w:val="FootnoteReference"/>
          <w:rFonts w:ascii="Times New Roman" w:hAnsi="Times New Roman" w:cs="Times New Roman"/>
        </w:rPr>
        <w:footnoteReference w:customMarkFollows="1" w:id="151"/>
        <w:t>43</w:t>
      </w:r>
      <w:r w:rsidRPr="00DD199C">
        <w:rPr>
          <w:rFonts w:ascii="Times New Roman" w:hAnsi="Times New Roman" w:cs="Times New Roman"/>
        </w:rPr>
        <w:t xml:space="preserve"> In his review of Hannah Arendt’s </w:t>
      </w:r>
      <w:r w:rsidRPr="00084D93">
        <w:rPr>
          <w:rFonts w:ascii="Times New Roman" w:hAnsi="Times New Roman" w:cs="Times New Roman"/>
          <w:i/>
          <w:iCs/>
        </w:rPr>
        <w:t>The Origins of Totalitarianism</w:t>
      </w:r>
      <w:r w:rsidRPr="00DD199C">
        <w:rPr>
          <w:rFonts w:ascii="Times New Roman" w:hAnsi="Times New Roman" w:cs="Times New Roman"/>
        </w:rPr>
        <w:t>, Rieff remarked, “man's demonic will to freedom has led him beyond the limits of his reason and humanity, beyond the limits of old political orders, beyond the limits of old social and religious communities….In the absence of limits, evil becomes everyman's lot.”</w:t>
      </w:r>
      <w:r w:rsidR="00EE4E03">
        <w:rPr>
          <w:rStyle w:val="FootnoteReference"/>
          <w:rFonts w:ascii="Times New Roman" w:hAnsi="Times New Roman" w:cs="Times New Roman"/>
        </w:rPr>
        <w:footnoteReference w:customMarkFollows="1" w:id="152"/>
        <w:t>44</w:t>
      </w:r>
      <w:r w:rsidRPr="00DD199C">
        <w:rPr>
          <w:rFonts w:ascii="Times New Roman" w:hAnsi="Times New Roman" w:cs="Times New Roman"/>
        </w:rPr>
        <w:t xml:space="preserve"> Since World War II, the stakes ha</w:t>
      </w:r>
      <w:r>
        <w:rPr>
          <w:rFonts w:ascii="Times New Roman" w:hAnsi="Times New Roman" w:cs="Times New Roman"/>
        </w:rPr>
        <w:t>d</w:t>
      </w:r>
      <w:r w:rsidRPr="00DD199C">
        <w:rPr>
          <w:rFonts w:ascii="Times New Roman" w:hAnsi="Times New Roman" w:cs="Times New Roman"/>
        </w:rPr>
        <w:t xml:space="preserve"> only increased with the rapid advancement of science and technology. </w:t>
      </w:r>
    </w:p>
    <w:p w14:paraId="32E601B9" w14:textId="4E222D25"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Rieff particularly feared the marriage of the “two anti-creeds” that “compete for mastery over our peculiar mastery of life: Science and Politics.”</w:t>
      </w:r>
      <w:r w:rsidR="00EE4E03">
        <w:rPr>
          <w:rStyle w:val="FootnoteReference"/>
          <w:rFonts w:ascii="Times New Roman" w:hAnsi="Times New Roman" w:cs="Times New Roman"/>
        </w:rPr>
        <w:footnoteReference w:customMarkFollows="1" w:id="153"/>
        <w:t>45</w:t>
      </w:r>
      <w:r w:rsidRPr="00DD199C">
        <w:rPr>
          <w:rFonts w:ascii="Times New Roman" w:hAnsi="Times New Roman" w:cs="Times New Roman"/>
        </w:rPr>
        <w:t xml:space="preserve"> An amoral mechanism, science could be coopted for any purpose in therapeutic hands. As a result, Rieff </w:t>
      </w:r>
      <w:r>
        <w:rPr>
          <w:rFonts w:ascii="Times New Roman" w:hAnsi="Times New Roman" w:cs="Times New Roman"/>
        </w:rPr>
        <w:t>cautioned</w:t>
      </w:r>
      <w:r w:rsidRPr="00DD199C">
        <w:rPr>
          <w:rFonts w:ascii="Times New Roman" w:hAnsi="Times New Roman" w:cs="Times New Roman"/>
        </w:rPr>
        <w:t xml:space="preserve"> that, “science </w:t>
      </w:r>
      <w:r w:rsidRPr="00DD199C">
        <w:rPr>
          <w:rFonts w:ascii="Times New Roman" w:hAnsi="Times New Roman" w:cs="Times New Roman"/>
        </w:rPr>
        <w:lastRenderedPageBreak/>
        <w:t>needs…an insistence upon what it is not to do, a time and sphere of constraint. The insoluble social condition of the scientists is that they are…without an interdictory form.”</w:t>
      </w:r>
      <w:r w:rsidR="00CA1298">
        <w:rPr>
          <w:rStyle w:val="FootnoteReference"/>
          <w:rFonts w:ascii="Times New Roman" w:hAnsi="Times New Roman" w:cs="Times New Roman"/>
        </w:rPr>
        <w:footnoteReference w:customMarkFollows="1" w:id="154"/>
        <w:t>46</w:t>
      </w:r>
      <w:r w:rsidRPr="00DD199C">
        <w:rPr>
          <w:rFonts w:ascii="Times New Roman" w:hAnsi="Times New Roman" w:cs="Times New Roman"/>
        </w:rPr>
        <w:t xml:space="preserve"> If modern society </w:t>
      </w:r>
      <w:r>
        <w:rPr>
          <w:rFonts w:ascii="Times New Roman" w:hAnsi="Times New Roman" w:cs="Times New Roman"/>
        </w:rPr>
        <w:t>eschewed</w:t>
      </w:r>
      <w:r w:rsidRPr="00DD199C">
        <w:rPr>
          <w:rFonts w:ascii="Times New Roman" w:hAnsi="Times New Roman" w:cs="Times New Roman"/>
        </w:rPr>
        <w:t xml:space="preserve"> principled limit</w:t>
      </w:r>
      <w:r>
        <w:rPr>
          <w:rFonts w:ascii="Times New Roman" w:hAnsi="Times New Roman" w:cs="Times New Roman"/>
        </w:rPr>
        <w:t>ations</w:t>
      </w:r>
      <w:r w:rsidRPr="00DD199C">
        <w:rPr>
          <w:rFonts w:ascii="Times New Roman" w:hAnsi="Times New Roman" w:cs="Times New Roman"/>
        </w:rPr>
        <w:t xml:space="preserve"> on political scheming and scientific inquiry, future abominations would inevitably follow. Yet the defining trend of modernity was to spite all such attempts at restraint, to decry any submission to any power other than one’s own.</w:t>
      </w:r>
      <w:r w:rsidR="00CA1298">
        <w:rPr>
          <w:rStyle w:val="FootnoteReference"/>
          <w:rFonts w:ascii="Times New Roman" w:hAnsi="Times New Roman" w:cs="Times New Roman"/>
        </w:rPr>
        <w:footnoteReference w:customMarkFollows="1" w:id="155"/>
        <w:t>47</w:t>
      </w:r>
      <w:r w:rsidRPr="00DD199C">
        <w:rPr>
          <w:rFonts w:ascii="Times New Roman" w:hAnsi="Times New Roman" w:cs="Times New Roman"/>
        </w:rPr>
        <w:t xml:space="preserve"> Rieff perceived that, “both rationalist and romantic attacks on the absolute authority of creeds led to that far greater horror: the absolute authority of man. Against this anti-credal authority, no creed can prevail, for it is an authority that is identified with will, that is untied to any constraint except self-interest.</w:t>
      </w:r>
      <w:r>
        <w:rPr>
          <w:rFonts w:ascii="Times New Roman" w:hAnsi="Times New Roman" w:cs="Times New Roman"/>
        </w:rPr>
        <w:t>”</w:t>
      </w:r>
      <w:r w:rsidR="00CA1298">
        <w:rPr>
          <w:rStyle w:val="FootnoteReference"/>
          <w:rFonts w:ascii="Times New Roman" w:hAnsi="Times New Roman" w:cs="Times New Roman"/>
        </w:rPr>
        <w:footnoteReference w:customMarkFollows="1" w:id="156"/>
        <w:t>48</w:t>
      </w:r>
      <w:r w:rsidRPr="00DD199C">
        <w:rPr>
          <w:rFonts w:ascii="Times New Roman" w:hAnsi="Times New Roman" w:cs="Times New Roman"/>
        </w:rPr>
        <w:t xml:space="preserve"> </w:t>
      </w:r>
    </w:p>
    <w:p w14:paraId="3CDCED0D" w14:textId="77777777"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To counter this violent struggle towards civilizational destruction, Rieff called for the restoration of a credal culture that recognized the reality of sacred authority and the saving ramifications of guilt. At base, the therapeutic transformation of the West</w:t>
      </w:r>
      <w:r>
        <w:rPr>
          <w:rFonts w:ascii="Times New Roman" w:hAnsi="Times New Roman" w:cs="Times New Roman"/>
        </w:rPr>
        <w:t xml:space="preserve"> was</w:t>
      </w:r>
      <w:r w:rsidRPr="00DD199C">
        <w:rPr>
          <w:rFonts w:ascii="Times New Roman" w:hAnsi="Times New Roman" w:cs="Times New Roman"/>
        </w:rPr>
        <w:t xml:space="preserve"> a rebellion against the demands the sacred order placed on the self. Rieff declared, “Anticulture is constituted by an assault upon the eternally given Nots of our historically received faiths.”</w:t>
      </w:r>
      <w:r>
        <w:rPr>
          <w:rStyle w:val="FootnoteReference"/>
          <w:rFonts w:ascii="Times New Roman" w:hAnsi="Times New Roman" w:cs="Times New Roman"/>
        </w:rPr>
        <w:footnoteReference w:id="157"/>
      </w:r>
      <w:r w:rsidRPr="00DD199C">
        <w:rPr>
          <w:rFonts w:ascii="Times New Roman" w:hAnsi="Times New Roman" w:cs="Times New Roman"/>
        </w:rPr>
        <w:t xml:space="preserve"> Moreover, Rieff stressed that, “in his symbolic truth, the therapeutic is what he represents: the most revolutionary of all modern movements—toward a new world of nothing sacred.”</w:t>
      </w:r>
      <w:r>
        <w:rPr>
          <w:rStyle w:val="FootnoteReference"/>
          <w:rFonts w:ascii="Times New Roman" w:hAnsi="Times New Roman" w:cs="Times New Roman"/>
        </w:rPr>
        <w:footnoteReference w:id="158"/>
      </w:r>
      <w:r w:rsidRPr="00DD199C">
        <w:rPr>
          <w:rFonts w:ascii="Times New Roman" w:hAnsi="Times New Roman" w:cs="Times New Roman"/>
        </w:rPr>
        <w:t xml:space="preserve"> Fundamentally, the </w:t>
      </w:r>
      <w:r w:rsidRPr="00DD199C">
        <w:rPr>
          <w:rFonts w:ascii="Times New Roman" w:hAnsi="Times New Roman" w:cs="Times New Roman"/>
        </w:rPr>
        <w:lastRenderedPageBreak/>
        <w:t>therapeutic project represent</w:t>
      </w:r>
      <w:r>
        <w:rPr>
          <w:rFonts w:ascii="Times New Roman" w:hAnsi="Times New Roman" w:cs="Times New Roman"/>
        </w:rPr>
        <w:t>ed</w:t>
      </w:r>
      <w:r w:rsidRPr="00DD199C">
        <w:rPr>
          <w:rFonts w:ascii="Times New Roman" w:hAnsi="Times New Roman" w:cs="Times New Roman"/>
        </w:rPr>
        <w:t xml:space="preserve"> an elaborate escape attempt from moral absolutes and the guilt that ensues from failing to meet those transcendent standards. </w:t>
      </w:r>
    </w:p>
    <w:p w14:paraId="027ED335" w14:textId="77777777"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Rieff described this feeling of inadequacy as “holy terror,” which he defined as “fear of the evil in oneself and in the world…. To live without this high fear is to be a terror oneself, a monster.</w:t>
      </w:r>
      <w:r>
        <w:rPr>
          <w:rFonts w:ascii="Times New Roman" w:hAnsi="Times New Roman" w:cs="Times New Roman"/>
        </w:rPr>
        <w:t>”</w:t>
      </w:r>
      <w:r>
        <w:rPr>
          <w:rStyle w:val="FootnoteReference"/>
          <w:rFonts w:ascii="Times New Roman" w:hAnsi="Times New Roman" w:cs="Times New Roman"/>
        </w:rPr>
        <w:footnoteReference w:id="159"/>
      </w:r>
      <w:r w:rsidRPr="00DD199C">
        <w:rPr>
          <w:rFonts w:ascii="Times New Roman" w:hAnsi="Times New Roman" w:cs="Times New Roman"/>
        </w:rPr>
        <w:t xml:space="preserve"> And yet</w:t>
      </w:r>
      <w:r>
        <w:rPr>
          <w:rFonts w:ascii="Times New Roman" w:hAnsi="Times New Roman" w:cs="Times New Roman"/>
        </w:rPr>
        <w:t>, Rieff lamented,</w:t>
      </w:r>
      <w:r w:rsidRPr="00DD199C">
        <w:rPr>
          <w:rFonts w:ascii="Times New Roman" w:hAnsi="Times New Roman" w:cs="Times New Roman"/>
        </w:rPr>
        <w:t xml:space="preserve"> </w:t>
      </w:r>
      <w:r>
        <w:rPr>
          <w:rFonts w:ascii="Times New Roman" w:hAnsi="Times New Roman" w:cs="Times New Roman"/>
        </w:rPr>
        <w:t>“</w:t>
      </w:r>
      <w:r w:rsidRPr="00DD199C">
        <w:rPr>
          <w:rFonts w:ascii="Times New Roman" w:hAnsi="Times New Roman" w:cs="Times New Roman"/>
        </w:rPr>
        <w:t>to be monstrous has become our ambition, for it is our ambition to live without fear. All holy terror is gone. The interdicts have no power. This is the real death of God and our own humanity.”</w:t>
      </w:r>
      <w:r>
        <w:rPr>
          <w:rStyle w:val="FootnoteReference"/>
          <w:rFonts w:ascii="Times New Roman" w:hAnsi="Times New Roman" w:cs="Times New Roman"/>
        </w:rPr>
        <w:footnoteReference w:id="160"/>
      </w:r>
      <w:r w:rsidRPr="00DD199C">
        <w:rPr>
          <w:rFonts w:ascii="Times New Roman" w:hAnsi="Times New Roman" w:cs="Times New Roman"/>
        </w:rPr>
        <w:t xml:space="preserve"> As guilt and sacred authority are irrevocably linked, psychological man trie</w:t>
      </w:r>
      <w:r>
        <w:rPr>
          <w:rFonts w:ascii="Times New Roman" w:hAnsi="Times New Roman" w:cs="Times New Roman"/>
        </w:rPr>
        <w:t>d</w:t>
      </w:r>
      <w:r w:rsidRPr="00DD199C">
        <w:rPr>
          <w:rFonts w:ascii="Times New Roman" w:hAnsi="Times New Roman" w:cs="Times New Roman"/>
        </w:rPr>
        <w:t xml:space="preserve"> to do away with guilt in order to abolish the haunting sense of the sacred. Rieff pronounced, “it is as man becomes guiltless, as he can find no opposition to his infinite sense of possibility, that he becomes godless.”</w:t>
      </w:r>
      <w:r>
        <w:rPr>
          <w:rStyle w:val="FootnoteReference"/>
          <w:rFonts w:ascii="Times New Roman" w:hAnsi="Times New Roman" w:cs="Times New Roman"/>
        </w:rPr>
        <w:footnoteReference w:id="161"/>
      </w:r>
      <w:r w:rsidRPr="00DD199C">
        <w:rPr>
          <w:rFonts w:ascii="Times New Roman" w:hAnsi="Times New Roman" w:cs="Times New Roman"/>
        </w:rPr>
        <w:t xml:space="preserve"> If modern culture ever </w:t>
      </w:r>
      <w:r>
        <w:rPr>
          <w:rFonts w:ascii="Times New Roman" w:hAnsi="Times New Roman" w:cs="Times New Roman"/>
        </w:rPr>
        <w:t>returned</w:t>
      </w:r>
      <w:r w:rsidRPr="00DD199C">
        <w:rPr>
          <w:rFonts w:ascii="Times New Roman" w:hAnsi="Times New Roman" w:cs="Times New Roman"/>
        </w:rPr>
        <w:t xml:space="preserve"> to a normative order, then guilt must again trouble the Western conscience. </w:t>
      </w:r>
    </w:p>
    <w:p w14:paraId="567956AB" w14:textId="77777777" w:rsidR="00192F81" w:rsidRDefault="00192F81" w:rsidP="00192F81">
      <w:pPr>
        <w:spacing w:line="480" w:lineRule="auto"/>
        <w:ind w:firstLine="720"/>
        <w:rPr>
          <w:rFonts w:ascii="Times New Roman" w:hAnsi="Times New Roman" w:cs="Times New Roman"/>
        </w:rPr>
      </w:pPr>
      <w:r w:rsidRPr="00DD199C">
        <w:rPr>
          <w:rFonts w:ascii="Times New Roman" w:hAnsi="Times New Roman" w:cs="Times New Roman"/>
        </w:rPr>
        <w:t>Amidst the shallowness and insecurity of an anticultural age, transcendent authority persists. Mocked or unacknowledged, the immortal truths of the sacred order still linger. In its endless searching to escape guilt by means of therapeutic diversions, modern society betray</w:t>
      </w:r>
      <w:r>
        <w:rPr>
          <w:rFonts w:ascii="Times New Roman" w:hAnsi="Times New Roman" w:cs="Times New Roman"/>
        </w:rPr>
        <w:t>ed</w:t>
      </w:r>
      <w:r w:rsidRPr="00DD199C">
        <w:rPr>
          <w:rFonts w:ascii="Times New Roman" w:hAnsi="Times New Roman" w:cs="Times New Roman"/>
        </w:rPr>
        <w:t xml:space="preserve"> its own hollowness. Rieff discerned that, “our culture is dying mainly because the objectivity it requires is destroyed by constructions of endless expressional quests that have nothing true and resistant about them.”</w:t>
      </w:r>
      <w:r>
        <w:rPr>
          <w:rStyle w:val="FootnoteReference"/>
          <w:rFonts w:ascii="Times New Roman" w:hAnsi="Times New Roman" w:cs="Times New Roman"/>
        </w:rPr>
        <w:footnoteReference w:id="162"/>
      </w:r>
      <w:r w:rsidRPr="00DD199C">
        <w:rPr>
          <w:rFonts w:ascii="Times New Roman" w:hAnsi="Times New Roman" w:cs="Times New Roman"/>
        </w:rPr>
        <w:t xml:space="preserve"> Despite psychological man’s best efforts, modernity convulse</w:t>
      </w:r>
      <w:r>
        <w:rPr>
          <w:rFonts w:ascii="Times New Roman" w:hAnsi="Times New Roman" w:cs="Times New Roman"/>
        </w:rPr>
        <w:t>d</w:t>
      </w:r>
      <w:r w:rsidRPr="00DD199C">
        <w:rPr>
          <w:rFonts w:ascii="Times New Roman" w:hAnsi="Times New Roman" w:cs="Times New Roman"/>
        </w:rPr>
        <w:t xml:space="preserve"> with the “residual effects of magisterial and eternal truths repressed.”</w:t>
      </w:r>
      <w:r>
        <w:rPr>
          <w:rStyle w:val="FootnoteReference"/>
          <w:rFonts w:ascii="Times New Roman" w:hAnsi="Times New Roman" w:cs="Times New Roman"/>
        </w:rPr>
        <w:footnoteReference w:id="163"/>
      </w:r>
      <w:r w:rsidRPr="00DD199C">
        <w:rPr>
          <w:rFonts w:ascii="Times New Roman" w:hAnsi="Times New Roman" w:cs="Times New Roman"/>
        </w:rPr>
        <w:t xml:space="preserve"> In the end, therapeutic answers </w:t>
      </w:r>
      <w:r w:rsidRPr="00DD199C">
        <w:rPr>
          <w:rFonts w:ascii="Times New Roman" w:hAnsi="Times New Roman" w:cs="Times New Roman"/>
        </w:rPr>
        <w:lastRenderedPageBreak/>
        <w:t xml:space="preserve">cannot account for the full scope of human longings. After all, </w:t>
      </w:r>
      <w:r>
        <w:rPr>
          <w:rFonts w:ascii="Times New Roman" w:hAnsi="Times New Roman" w:cs="Times New Roman"/>
        </w:rPr>
        <w:t>“</w:t>
      </w:r>
      <w:r w:rsidRPr="00DD199C">
        <w:rPr>
          <w:rFonts w:ascii="Times New Roman" w:hAnsi="Times New Roman" w:cs="Times New Roman"/>
        </w:rPr>
        <w:t>there is also justice and mercy, both of which have nothing to do with therapy.</w:t>
      </w:r>
      <w:r>
        <w:rPr>
          <w:rFonts w:ascii="Times New Roman" w:hAnsi="Times New Roman" w:cs="Times New Roman"/>
        </w:rPr>
        <w:t>”</w:t>
      </w:r>
      <w:r>
        <w:rPr>
          <w:rStyle w:val="FootnoteReference"/>
          <w:rFonts w:ascii="Times New Roman" w:hAnsi="Times New Roman" w:cs="Times New Roman"/>
        </w:rPr>
        <w:footnoteReference w:id="164"/>
      </w:r>
      <w:r w:rsidRPr="00DD199C">
        <w:rPr>
          <w:rFonts w:ascii="Times New Roman" w:hAnsi="Times New Roman" w:cs="Times New Roman"/>
        </w:rPr>
        <w:t xml:space="preserve"> In the ashes of culture, perhaps psychological man will again regain a sense of shame and turn with fear and trembling once</w:t>
      </w:r>
      <w:r>
        <w:rPr>
          <w:rFonts w:ascii="Times New Roman" w:hAnsi="Times New Roman" w:cs="Times New Roman"/>
        </w:rPr>
        <w:t xml:space="preserve"> more towards the sacred.</w:t>
      </w:r>
    </w:p>
    <w:p w14:paraId="07FEC3BB" w14:textId="77777777" w:rsidR="00192F81" w:rsidRDefault="00192F81" w:rsidP="00192F81">
      <w:pPr>
        <w:spacing w:line="480" w:lineRule="auto"/>
        <w:rPr>
          <w:rFonts w:ascii="Times New Roman" w:hAnsi="Times New Roman" w:cs="Times New Roman"/>
        </w:rPr>
      </w:pPr>
    </w:p>
    <w:p w14:paraId="53A78CBD" w14:textId="77777777" w:rsidR="00192F81" w:rsidRDefault="00192F81" w:rsidP="00192F81">
      <w:pPr>
        <w:spacing w:line="480" w:lineRule="auto"/>
        <w:rPr>
          <w:rFonts w:ascii="Times New Roman" w:hAnsi="Times New Roman" w:cs="Times New Roman"/>
        </w:rPr>
      </w:pPr>
    </w:p>
    <w:p w14:paraId="5DCF0427" w14:textId="77777777" w:rsidR="00192F81" w:rsidRDefault="00192F81" w:rsidP="00192F81">
      <w:pPr>
        <w:spacing w:line="480" w:lineRule="auto"/>
        <w:ind w:firstLine="720"/>
        <w:rPr>
          <w:rFonts w:ascii="Times New Roman" w:hAnsi="Times New Roman" w:cs="Times New Roman"/>
        </w:rPr>
      </w:pPr>
    </w:p>
    <w:p w14:paraId="69DF2FAC" w14:textId="77777777" w:rsidR="00192F81" w:rsidRDefault="00192F81" w:rsidP="00192F81">
      <w:pPr>
        <w:spacing w:line="480" w:lineRule="auto"/>
        <w:ind w:firstLine="720"/>
        <w:rPr>
          <w:rFonts w:ascii="Times New Roman" w:hAnsi="Times New Roman" w:cs="Times New Roman"/>
        </w:rPr>
      </w:pPr>
    </w:p>
    <w:p w14:paraId="3234BBB7" w14:textId="77777777" w:rsidR="00192F81" w:rsidRDefault="00192F81" w:rsidP="00192F81">
      <w:pPr>
        <w:spacing w:line="480" w:lineRule="auto"/>
        <w:ind w:firstLine="720"/>
        <w:rPr>
          <w:rFonts w:ascii="Times New Roman" w:hAnsi="Times New Roman" w:cs="Times New Roman"/>
        </w:rPr>
      </w:pPr>
    </w:p>
    <w:p w14:paraId="0D2F6609" w14:textId="77777777" w:rsidR="00CA1298" w:rsidRDefault="00CA1298" w:rsidP="00192F81">
      <w:pPr>
        <w:spacing w:line="480" w:lineRule="auto"/>
        <w:jc w:val="center"/>
        <w:rPr>
          <w:rFonts w:ascii="Times New Roman" w:hAnsi="Times New Roman" w:cs="Times New Roman"/>
          <w:b/>
          <w:bCs/>
        </w:rPr>
      </w:pPr>
    </w:p>
    <w:p w14:paraId="75D636F9" w14:textId="77777777" w:rsidR="00CA1298" w:rsidRDefault="00CA1298" w:rsidP="00192F81">
      <w:pPr>
        <w:spacing w:line="480" w:lineRule="auto"/>
        <w:jc w:val="center"/>
        <w:rPr>
          <w:rFonts w:ascii="Times New Roman" w:hAnsi="Times New Roman" w:cs="Times New Roman"/>
          <w:b/>
          <w:bCs/>
        </w:rPr>
      </w:pPr>
    </w:p>
    <w:p w14:paraId="66A9BA2D" w14:textId="77777777" w:rsidR="00CA1298" w:rsidRDefault="00CA1298" w:rsidP="00192F81">
      <w:pPr>
        <w:spacing w:line="480" w:lineRule="auto"/>
        <w:jc w:val="center"/>
        <w:rPr>
          <w:rFonts w:ascii="Times New Roman" w:hAnsi="Times New Roman" w:cs="Times New Roman"/>
          <w:b/>
          <w:bCs/>
        </w:rPr>
      </w:pPr>
    </w:p>
    <w:p w14:paraId="0ECF2622" w14:textId="77777777" w:rsidR="00CA1298" w:rsidRDefault="00CA1298" w:rsidP="00192F81">
      <w:pPr>
        <w:spacing w:line="480" w:lineRule="auto"/>
        <w:jc w:val="center"/>
        <w:rPr>
          <w:rFonts w:ascii="Times New Roman" w:hAnsi="Times New Roman" w:cs="Times New Roman"/>
          <w:b/>
          <w:bCs/>
        </w:rPr>
      </w:pPr>
    </w:p>
    <w:p w14:paraId="7C982148" w14:textId="77777777" w:rsidR="00CA1298" w:rsidRDefault="00CA1298" w:rsidP="00192F81">
      <w:pPr>
        <w:spacing w:line="480" w:lineRule="auto"/>
        <w:jc w:val="center"/>
        <w:rPr>
          <w:rFonts w:ascii="Times New Roman" w:hAnsi="Times New Roman" w:cs="Times New Roman"/>
          <w:b/>
          <w:bCs/>
        </w:rPr>
      </w:pPr>
    </w:p>
    <w:p w14:paraId="3D1F8AE1" w14:textId="77777777" w:rsidR="00CA1298" w:rsidRDefault="00CA1298" w:rsidP="00192F81">
      <w:pPr>
        <w:spacing w:line="480" w:lineRule="auto"/>
        <w:jc w:val="center"/>
        <w:rPr>
          <w:rFonts w:ascii="Times New Roman" w:hAnsi="Times New Roman" w:cs="Times New Roman"/>
          <w:b/>
          <w:bCs/>
        </w:rPr>
      </w:pPr>
    </w:p>
    <w:p w14:paraId="210548C4" w14:textId="77777777" w:rsidR="00CA1298" w:rsidRDefault="00CA1298" w:rsidP="00192F81">
      <w:pPr>
        <w:spacing w:line="480" w:lineRule="auto"/>
        <w:jc w:val="center"/>
        <w:rPr>
          <w:rFonts w:ascii="Times New Roman" w:hAnsi="Times New Roman" w:cs="Times New Roman"/>
          <w:b/>
          <w:bCs/>
        </w:rPr>
      </w:pPr>
    </w:p>
    <w:p w14:paraId="48B5B9D7" w14:textId="77777777" w:rsidR="00CA1298" w:rsidRDefault="00CA1298" w:rsidP="00192F81">
      <w:pPr>
        <w:spacing w:line="480" w:lineRule="auto"/>
        <w:jc w:val="center"/>
        <w:rPr>
          <w:rFonts w:ascii="Times New Roman" w:hAnsi="Times New Roman" w:cs="Times New Roman"/>
          <w:b/>
          <w:bCs/>
        </w:rPr>
      </w:pPr>
    </w:p>
    <w:p w14:paraId="73FD30B4" w14:textId="77777777" w:rsidR="00CA1298" w:rsidRDefault="00CA1298" w:rsidP="00192F81">
      <w:pPr>
        <w:spacing w:line="480" w:lineRule="auto"/>
        <w:jc w:val="center"/>
        <w:rPr>
          <w:rFonts w:ascii="Times New Roman" w:hAnsi="Times New Roman" w:cs="Times New Roman"/>
          <w:b/>
          <w:bCs/>
        </w:rPr>
      </w:pPr>
    </w:p>
    <w:p w14:paraId="31DA6C02" w14:textId="77777777" w:rsidR="00CA1298" w:rsidRDefault="00CA1298" w:rsidP="00192F81">
      <w:pPr>
        <w:spacing w:line="480" w:lineRule="auto"/>
        <w:jc w:val="center"/>
        <w:rPr>
          <w:rFonts w:ascii="Times New Roman" w:hAnsi="Times New Roman" w:cs="Times New Roman"/>
          <w:b/>
          <w:bCs/>
        </w:rPr>
      </w:pPr>
    </w:p>
    <w:p w14:paraId="5966ED46" w14:textId="77777777" w:rsidR="00CA1298" w:rsidRDefault="00CA1298" w:rsidP="00192F81">
      <w:pPr>
        <w:spacing w:line="480" w:lineRule="auto"/>
        <w:jc w:val="center"/>
        <w:rPr>
          <w:rFonts w:ascii="Times New Roman" w:hAnsi="Times New Roman" w:cs="Times New Roman"/>
          <w:b/>
          <w:bCs/>
        </w:rPr>
      </w:pPr>
    </w:p>
    <w:p w14:paraId="6D1F2366" w14:textId="77777777" w:rsidR="00CA1298" w:rsidRDefault="00CA1298" w:rsidP="00192F81">
      <w:pPr>
        <w:spacing w:line="480" w:lineRule="auto"/>
        <w:jc w:val="center"/>
        <w:rPr>
          <w:rFonts w:ascii="Times New Roman" w:hAnsi="Times New Roman" w:cs="Times New Roman"/>
          <w:b/>
          <w:bCs/>
        </w:rPr>
      </w:pPr>
    </w:p>
    <w:p w14:paraId="6A410667" w14:textId="77777777" w:rsidR="00CA1298" w:rsidRDefault="00CA1298" w:rsidP="00192F81">
      <w:pPr>
        <w:spacing w:line="480" w:lineRule="auto"/>
        <w:jc w:val="center"/>
        <w:rPr>
          <w:rFonts w:ascii="Times New Roman" w:hAnsi="Times New Roman" w:cs="Times New Roman"/>
          <w:b/>
          <w:bCs/>
        </w:rPr>
      </w:pPr>
    </w:p>
    <w:p w14:paraId="2C123A57" w14:textId="5E9DE402" w:rsidR="00192F81" w:rsidRPr="00997678" w:rsidRDefault="00192F81" w:rsidP="00192F81">
      <w:pPr>
        <w:spacing w:line="480" w:lineRule="auto"/>
        <w:jc w:val="center"/>
        <w:rPr>
          <w:rFonts w:ascii="Times New Roman" w:hAnsi="Times New Roman" w:cs="Times New Roman"/>
          <w:b/>
          <w:bCs/>
        </w:rPr>
      </w:pPr>
      <w:r w:rsidRPr="00997678">
        <w:rPr>
          <w:rFonts w:ascii="Times New Roman" w:hAnsi="Times New Roman" w:cs="Times New Roman"/>
          <w:b/>
          <w:bCs/>
        </w:rPr>
        <w:lastRenderedPageBreak/>
        <w:t>Bibliography</w:t>
      </w:r>
    </w:p>
    <w:p w14:paraId="5254F3CC" w14:textId="77777777" w:rsidR="00192F81" w:rsidRPr="00997678" w:rsidRDefault="00192F81" w:rsidP="00192F81">
      <w:pPr>
        <w:spacing w:line="480" w:lineRule="auto"/>
        <w:rPr>
          <w:rFonts w:ascii="Times New Roman" w:hAnsi="Times New Roman" w:cs="Times New Roman"/>
          <w:u w:val="single"/>
        </w:rPr>
      </w:pPr>
      <w:r w:rsidRPr="00997678">
        <w:rPr>
          <w:rFonts w:ascii="Times New Roman" w:hAnsi="Times New Roman" w:cs="Times New Roman"/>
          <w:u w:val="single"/>
        </w:rPr>
        <w:t xml:space="preserve">Primary </w:t>
      </w:r>
    </w:p>
    <w:p w14:paraId="2019AAEF" w14:textId="77777777"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Rieff, Philip. </w:t>
      </w:r>
      <w:r w:rsidRPr="00997678">
        <w:rPr>
          <w:rFonts w:ascii="Times New Roman" w:hAnsi="Times New Roman" w:cs="Times New Roman"/>
          <w:i/>
          <w:iCs/>
        </w:rPr>
        <w:t>Charisma: The Gift of Grace, and How It Has Been Taken Away from Us</w:t>
      </w:r>
      <w:r w:rsidRPr="00997678">
        <w:rPr>
          <w:rFonts w:ascii="Times New Roman" w:hAnsi="Times New Roman" w:cs="Times New Roman"/>
        </w:rPr>
        <w:t xml:space="preserve">. Vintage Books, 2008. </w:t>
      </w:r>
    </w:p>
    <w:p w14:paraId="13BF53CA" w14:textId="77777777" w:rsidR="00192F81" w:rsidRDefault="00192F81" w:rsidP="00192F81">
      <w:pPr>
        <w:ind w:left="720" w:hanging="720"/>
        <w:rPr>
          <w:rFonts w:ascii="Times New Roman" w:hAnsi="Times New Roman" w:cs="Times New Roman"/>
        </w:rPr>
      </w:pPr>
    </w:p>
    <w:p w14:paraId="2DFE325E" w14:textId="7273FDE4"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“For the Last Time Psychology: Thoughts on the Therapeutic Twenty Years After.” </w:t>
      </w:r>
      <w:r w:rsidRPr="00997678">
        <w:rPr>
          <w:rFonts w:ascii="Times New Roman" w:hAnsi="Times New Roman" w:cs="Times New Roman"/>
          <w:i/>
          <w:iCs/>
        </w:rPr>
        <w:t>Salmagundi</w:t>
      </w:r>
      <w:r w:rsidRPr="00997678">
        <w:rPr>
          <w:rFonts w:ascii="Times New Roman" w:hAnsi="Times New Roman" w:cs="Times New Roman"/>
        </w:rPr>
        <w:t xml:space="preserve">, no. 74/75 (April 1, 1987): 101–17. </w:t>
      </w:r>
    </w:p>
    <w:p w14:paraId="0BDF0CA7" w14:textId="77777777" w:rsidR="00192F81" w:rsidRDefault="00192F81" w:rsidP="00192F81">
      <w:pPr>
        <w:ind w:left="720" w:hanging="720"/>
        <w:rPr>
          <w:rFonts w:ascii="Times New Roman" w:hAnsi="Times New Roman" w:cs="Times New Roman"/>
        </w:rPr>
      </w:pPr>
    </w:p>
    <w:p w14:paraId="06F5279B" w14:textId="66E00FAF"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 “The Theology of Politics: Reflections on Totalitarianism as the Burden of Our Time (A Review Article).” </w:t>
      </w:r>
      <w:r w:rsidRPr="00997678">
        <w:rPr>
          <w:rFonts w:ascii="Times New Roman" w:hAnsi="Times New Roman" w:cs="Times New Roman"/>
          <w:i/>
          <w:iCs/>
        </w:rPr>
        <w:t>The Journal of Religion</w:t>
      </w:r>
      <w:r w:rsidRPr="00997678">
        <w:rPr>
          <w:rFonts w:ascii="Times New Roman" w:hAnsi="Times New Roman" w:cs="Times New Roman"/>
        </w:rPr>
        <w:t xml:space="preserve"> 32, no. 2 (April 1, 1952): 119–26. </w:t>
      </w:r>
    </w:p>
    <w:p w14:paraId="05FD1CFC" w14:textId="77777777" w:rsidR="00192F81" w:rsidRDefault="00192F81" w:rsidP="00192F81">
      <w:pPr>
        <w:ind w:left="720" w:hanging="720"/>
        <w:rPr>
          <w:rFonts w:ascii="Times New Roman" w:hAnsi="Times New Roman" w:cs="Times New Roman"/>
        </w:rPr>
      </w:pPr>
    </w:p>
    <w:p w14:paraId="5A4DA173" w14:textId="3CC69028" w:rsidR="00192F81" w:rsidRDefault="00192F81" w:rsidP="00192F81">
      <w:pPr>
        <w:ind w:left="720" w:hanging="720"/>
        <w:rPr>
          <w:rFonts w:ascii="Times New Roman" w:hAnsi="Times New Roman" w:cs="Times New Roman"/>
        </w:rPr>
      </w:pPr>
      <w:r w:rsidRPr="00997678">
        <w:rPr>
          <w:rFonts w:ascii="Times New Roman" w:hAnsi="Times New Roman" w:cs="Times New Roman"/>
          <w:i/>
          <w:iCs/>
        </w:rPr>
        <w:t>The Triumph of the Therapeutic: Uses of Faith after Freud</w:t>
      </w:r>
      <w:r w:rsidRPr="00997678">
        <w:rPr>
          <w:rFonts w:ascii="Times New Roman" w:hAnsi="Times New Roman" w:cs="Times New Roman"/>
        </w:rPr>
        <w:t xml:space="preserve">. ISI Books, 2007. </w:t>
      </w:r>
    </w:p>
    <w:p w14:paraId="6F379191" w14:textId="77777777" w:rsidR="00192F81" w:rsidRDefault="00192F81" w:rsidP="00192F81">
      <w:pPr>
        <w:ind w:left="720" w:hanging="720"/>
        <w:rPr>
          <w:rFonts w:ascii="Times New Roman" w:hAnsi="Times New Roman" w:cs="Times New Roman"/>
        </w:rPr>
      </w:pPr>
    </w:p>
    <w:p w14:paraId="41D84AE2" w14:textId="2895115E"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 “VII A Last Word: The Impossible Culture: Wilde As A Modern Prophet.” </w:t>
      </w:r>
      <w:r w:rsidRPr="00997678">
        <w:rPr>
          <w:rFonts w:ascii="Times New Roman" w:hAnsi="Times New Roman" w:cs="Times New Roman"/>
          <w:i/>
          <w:iCs/>
        </w:rPr>
        <w:t>Salmagundi</w:t>
      </w:r>
      <w:r w:rsidRPr="00997678">
        <w:rPr>
          <w:rFonts w:ascii="Times New Roman" w:hAnsi="Times New Roman" w:cs="Times New Roman"/>
        </w:rPr>
        <w:t xml:space="preserve">, no. 58/59 (October 1, 1982): 406–26. </w:t>
      </w:r>
    </w:p>
    <w:p w14:paraId="21BD8676" w14:textId="77777777" w:rsidR="00192F81" w:rsidRDefault="00192F81" w:rsidP="00192F81">
      <w:pPr>
        <w:ind w:left="720" w:hanging="720"/>
        <w:rPr>
          <w:rFonts w:ascii="Times New Roman" w:hAnsi="Times New Roman" w:cs="Times New Roman"/>
        </w:rPr>
      </w:pPr>
    </w:p>
    <w:p w14:paraId="7EDC25D8" w14:textId="77777777" w:rsidR="00192F81" w:rsidRPr="00997678" w:rsidRDefault="00192F81" w:rsidP="00192F81">
      <w:pPr>
        <w:spacing w:line="480" w:lineRule="auto"/>
        <w:rPr>
          <w:rFonts w:ascii="Times New Roman" w:hAnsi="Times New Roman" w:cs="Times New Roman"/>
          <w:u w:val="single"/>
        </w:rPr>
      </w:pPr>
      <w:r w:rsidRPr="00997678">
        <w:rPr>
          <w:rFonts w:ascii="Times New Roman" w:hAnsi="Times New Roman" w:cs="Times New Roman"/>
          <w:u w:val="single"/>
        </w:rPr>
        <w:t xml:space="preserve">Secondary </w:t>
      </w:r>
    </w:p>
    <w:p w14:paraId="5EA4CC86" w14:textId="77777777"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Langman, Lauren. “Philip Rieff’s Mission.” </w:t>
      </w:r>
      <w:r w:rsidRPr="00997678">
        <w:rPr>
          <w:rFonts w:ascii="Times New Roman" w:hAnsi="Times New Roman" w:cs="Times New Roman"/>
          <w:i/>
          <w:iCs/>
        </w:rPr>
        <w:t>Journal of Classical Sociology</w:t>
      </w:r>
      <w:r w:rsidRPr="00997678">
        <w:rPr>
          <w:rFonts w:ascii="Times New Roman" w:hAnsi="Times New Roman" w:cs="Times New Roman"/>
        </w:rPr>
        <w:t xml:space="preserve"> 3, no. 3 (November 1, 2003): 279–95. </w:t>
      </w:r>
    </w:p>
    <w:p w14:paraId="734710A9" w14:textId="77777777" w:rsidR="00192F81" w:rsidRDefault="00192F81" w:rsidP="00192F81">
      <w:pPr>
        <w:ind w:left="720" w:hanging="720"/>
        <w:rPr>
          <w:rFonts w:ascii="Times New Roman" w:hAnsi="Times New Roman" w:cs="Times New Roman"/>
        </w:rPr>
      </w:pPr>
    </w:p>
    <w:p w14:paraId="08571763" w14:textId="77777777" w:rsid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Trueman, Carl. </w:t>
      </w:r>
      <w:r w:rsidRPr="00997678">
        <w:rPr>
          <w:rFonts w:ascii="Times New Roman" w:hAnsi="Times New Roman" w:cs="Times New Roman"/>
          <w:i/>
          <w:iCs/>
        </w:rPr>
        <w:t>The Rise and Triumph of the Modern Self: Cultural Amnesia, Expressive Individualism, and the Road to Sexual Revolution</w:t>
      </w:r>
      <w:r w:rsidRPr="00997678">
        <w:rPr>
          <w:rFonts w:ascii="Times New Roman" w:hAnsi="Times New Roman" w:cs="Times New Roman"/>
        </w:rPr>
        <w:t xml:space="preserve">. Crossway, 2020. </w:t>
      </w:r>
    </w:p>
    <w:p w14:paraId="1028EB56" w14:textId="77777777" w:rsidR="00192F81" w:rsidRDefault="00192F81" w:rsidP="00192F81">
      <w:pPr>
        <w:ind w:left="720" w:hanging="720"/>
        <w:rPr>
          <w:rFonts w:ascii="Times New Roman" w:hAnsi="Times New Roman" w:cs="Times New Roman"/>
        </w:rPr>
      </w:pPr>
    </w:p>
    <w:p w14:paraId="72BFDA04" w14:textId="1E27BEEB" w:rsidR="00776662" w:rsidRPr="00192F81" w:rsidRDefault="00192F81" w:rsidP="00192F81">
      <w:pPr>
        <w:ind w:left="720" w:hanging="720"/>
        <w:rPr>
          <w:rFonts w:ascii="Times New Roman" w:hAnsi="Times New Roman" w:cs="Times New Roman"/>
        </w:rPr>
      </w:pPr>
      <w:r w:rsidRPr="00997678">
        <w:rPr>
          <w:rFonts w:ascii="Times New Roman" w:hAnsi="Times New Roman" w:cs="Times New Roman"/>
        </w:rPr>
        <w:t xml:space="preserve">Woolfolk, Alan. “The Therapeutic Ideology of Moral Freedom.” </w:t>
      </w:r>
      <w:r w:rsidRPr="00997678">
        <w:rPr>
          <w:rFonts w:ascii="Times New Roman" w:hAnsi="Times New Roman" w:cs="Times New Roman"/>
          <w:i/>
          <w:iCs/>
        </w:rPr>
        <w:t>Journal of Classical Sociology</w:t>
      </w:r>
      <w:r w:rsidRPr="00997678">
        <w:rPr>
          <w:rFonts w:ascii="Times New Roman" w:hAnsi="Times New Roman" w:cs="Times New Roman"/>
        </w:rPr>
        <w:t xml:space="preserve"> 3, no. 3 (December 1, 2003): 247–62.</w:t>
      </w:r>
    </w:p>
    <w:p w14:paraId="78A8370D" w14:textId="77777777" w:rsidR="00087242" w:rsidRDefault="00087242" w:rsidP="0036080B">
      <w:pPr>
        <w:pStyle w:val="p1"/>
        <w:rPr>
          <w:sz w:val="24"/>
          <w:szCs w:val="24"/>
        </w:rPr>
      </w:pPr>
    </w:p>
    <w:p w14:paraId="1E74A09F" w14:textId="77777777" w:rsidR="00087242" w:rsidRDefault="00087242" w:rsidP="0036080B">
      <w:pPr>
        <w:pStyle w:val="p1"/>
        <w:rPr>
          <w:sz w:val="24"/>
          <w:szCs w:val="24"/>
        </w:rPr>
      </w:pPr>
    </w:p>
    <w:p w14:paraId="491EE96C" w14:textId="77777777" w:rsidR="00087242" w:rsidRDefault="00087242" w:rsidP="0036080B">
      <w:pPr>
        <w:pStyle w:val="p1"/>
        <w:rPr>
          <w:sz w:val="24"/>
          <w:szCs w:val="24"/>
        </w:rPr>
      </w:pPr>
    </w:p>
    <w:p w14:paraId="5960BC5D" w14:textId="77777777" w:rsidR="00087242" w:rsidRDefault="00087242" w:rsidP="0036080B">
      <w:pPr>
        <w:pStyle w:val="p1"/>
        <w:rPr>
          <w:sz w:val="24"/>
          <w:szCs w:val="24"/>
        </w:rPr>
      </w:pPr>
    </w:p>
    <w:p w14:paraId="33C35C88" w14:textId="77777777" w:rsidR="00B71B91" w:rsidRDefault="00B71B91"/>
    <w:p w14:paraId="63F87E92" w14:textId="77777777" w:rsidR="00B71B91" w:rsidRDefault="00B71B91"/>
    <w:p w14:paraId="1790FAFC" w14:textId="77777777" w:rsidR="00B71B91" w:rsidRDefault="00B71B91"/>
    <w:p w14:paraId="50359936" w14:textId="77777777" w:rsidR="00B71B91" w:rsidRDefault="00B71B91"/>
    <w:sectPr w:rsidR="00B71B91" w:rsidSect="00C558EA">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0E4E" w14:textId="77777777" w:rsidR="00EF3BC8" w:rsidRDefault="00EF3BC8" w:rsidP="00A308D1">
      <w:r>
        <w:separator/>
      </w:r>
    </w:p>
  </w:endnote>
  <w:endnote w:type="continuationSeparator" w:id="0">
    <w:p w14:paraId="59BAE8FA" w14:textId="77777777" w:rsidR="00EF3BC8" w:rsidRDefault="00EF3BC8" w:rsidP="00A3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CADEMY ENGRAVED LET PLAIN:1.0">
    <w:altName w:val="Colonna MT"/>
    <w:panose1 w:val="020B0604020202020204"/>
    <w:charset w:val="00"/>
    <w:family w:val="auto"/>
    <w:pitch w:val="variable"/>
    <w:sig w:usb0="8000007F" w:usb1="4000000A" w:usb2="00000000" w:usb3="00000000" w:csb0="00000001" w:csb1="00000000"/>
  </w:font>
  <w:font w:name="Bodoni MT">
    <w:panose1 w:val="02070603080606020203"/>
    <w:charset w:val="4D"/>
    <w:family w:val="roman"/>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2218422"/>
      <w:docPartObj>
        <w:docPartGallery w:val="Page Numbers (Bottom of Page)"/>
        <w:docPartUnique/>
      </w:docPartObj>
    </w:sdtPr>
    <w:sdtEndPr>
      <w:rPr>
        <w:rStyle w:val="PageNumber"/>
      </w:rPr>
    </w:sdtEndPr>
    <w:sdtContent>
      <w:p w14:paraId="01B48C5D" w14:textId="0069E41E" w:rsidR="00037D1A" w:rsidRDefault="00037D1A" w:rsidP="00652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82030F" w14:textId="77777777" w:rsidR="00037D1A" w:rsidRDefault="00037D1A" w:rsidP="00037D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Bodoni MT" w:hAnsi="Bodoni MT"/>
        <w:color w:val="595959" w:themeColor="text1" w:themeTint="A6"/>
      </w:rPr>
      <w:id w:val="-1365211887"/>
      <w:docPartObj>
        <w:docPartGallery w:val="Page Numbers (Bottom of Page)"/>
        <w:docPartUnique/>
      </w:docPartObj>
    </w:sdtPr>
    <w:sdtEndPr>
      <w:rPr>
        <w:rStyle w:val="PageNumber"/>
      </w:rPr>
    </w:sdtEndPr>
    <w:sdtContent>
      <w:p w14:paraId="37D4CA51" w14:textId="49AA86F5" w:rsidR="00037D1A" w:rsidRPr="00037D1A" w:rsidRDefault="00037D1A" w:rsidP="00652690">
        <w:pPr>
          <w:pStyle w:val="Footer"/>
          <w:framePr w:wrap="none" w:vAnchor="text" w:hAnchor="margin" w:xAlign="right" w:y="1"/>
          <w:rPr>
            <w:rStyle w:val="PageNumber"/>
            <w:rFonts w:ascii="Bodoni MT" w:hAnsi="Bodoni MT"/>
            <w:color w:val="595959" w:themeColor="text1" w:themeTint="A6"/>
          </w:rPr>
        </w:pPr>
        <w:r w:rsidRPr="00037D1A">
          <w:rPr>
            <w:rStyle w:val="PageNumber"/>
            <w:rFonts w:ascii="Bodoni MT" w:hAnsi="Bodoni MT"/>
            <w:color w:val="595959" w:themeColor="text1" w:themeTint="A6"/>
          </w:rPr>
          <w:fldChar w:fldCharType="begin"/>
        </w:r>
        <w:r w:rsidRPr="00037D1A">
          <w:rPr>
            <w:rStyle w:val="PageNumber"/>
            <w:rFonts w:ascii="Bodoni MT" w:hAnsi="Bodoni MT"/>
            <w:color w:val="595959" w:themeColor="text1" w:themeTint="A6"/>
          </w:rPr>
          <w:instrText xml:space="preserve"> PAGE </w:instrText>
        </w:r>
        <w:r w:rsidRPr="00037D1A">
          <w:rPr>
            <w:rStyle w:val="PageNumber"/>
            <w:rFonts w:ascii="Bodoni MT" w:hAnsi="Bodoni MT"/>
            <w:color w:val="595959" w:themeColor="text1" w:themeTint="A6"/>
          </w:rPr>
          <w:fldChar w:fldCharType="separate"/>
        </w:r>
        <w:r w:rsidRPr="00037D1A">
          <w:rPr>
            <w:rStyle w:val="PageNumber"/>
            <w:rFonts w:ascii="Bodoni MT" w:hAnsi="Bodoni MT"/>
            <w:noProof/>
            <w:color w:val="595959" w:themeColor="text1" w:themeTint="A6"/>
          </w:rPr>
          <w:t>2</w:t>
        </w:r>
        <w:r w:rsidRPr="00037D1A">
          <w:rPr>
            <w:rStyle w:val="PageNumber"/>
            <w:rFonts w:ascii="Bodoni MT" w:hAnsi="Bodoni MT"/>
            <w:color w:val="595959" w:themeColor="text1" w:themeTint="A6"/>
          </w:rPr>
          <w:fldChar w:fldCharType="end"/>
        </w:r>
      </w:p>
    </w:sdtContent>
  </w:sdt>
  <w:p w14:paraId="646C6508" w14:textId="73440521" w:rsidR="00037D1A" w:rsidRPr="00037D1A" w:rsidRDefault="00037D1A" w:rsidP="00037D1A">
    <w:pPr>
      <w:pStyle w:val="Footer"/>
      <w:tabs>
        <w:tab w:val="left" w:pos="4017"/>
      </w:tabs>
      <w:ind w:right="360"/>
      <w:rPr>
        <w:rFonts w:ascii="Bodoni MT" w:hAnsi="Bodoni MT"/>
        <w:i/>
        <w:iCs/>
        <w:color w:val="595959" w:themeColor="text1" w:themeTint="A6"/>
      </w:rPr>
    </w:pPr>
    <w:r w:rsidRPr="00037D1A">
      <w:rPr>
        <w:rFonts w:ascii="Bodoni MT" w:hAnsi="Bodoni MT"/>
        <w:i/>
        <w:iCs/>
        <w:color w:val="595959" w:themeColor="text1" w:themeTint="A6"/>
      </w:rPr>
      <w:tab/>
    </w:r>
    <w:r w:rsidRPr="00037D1A">
      <w:rPr>
        <w:rFonts w:ascii="Bodoni MT" w:hAnsi="Bodoni MT"/>
        <w:i/>
        <w:iCs/>
        <w:color w:val="595959" w:themeColor="text1" w:themeTint="A6"/>
      </w:rPr>
      <w:tab/>
      <w:t xml:space="preserve">                      Samford University Research Journal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AA66" w14:textId="77777777" w:rsidR="00EF3BC8" w:rsidRDefault="00EF3BC8" w:rsidP="00A308D1">
      <w:r>
        <w:separator/>
      </w:r>
    </w:p>
  </w:footnote>
  <w:footnote w:type="continuationSeparator" w:id="0">
    <w:p w14:paraId="57619571" w14:textId="77777777" w:rsidR="00EF3BC8" w:rsidRDefault="00EF3BC8" w:rsidP="00A308D1">
      <w:r>
        <w:continuationSeparator/>
      </w:r>
    </w:p>
  </w:footnote>
  <w:footnote w:id="1">
    <w:p w14:paraId="0B72BA86" w14:textId="77777777" w:rsidR="00A308D1" w:rsidRDefault="00A308D1" w:rsidP="00A308D1">
      <w:pPr>
        <w:rPr>
          <w:sz w:val="20"/>
          <w:szCs w:val="20"/>
        </w:rPr>
      </w:pPr>
      <w:r>
        <w:rPr>
          <w:vertAlign w:val="superscript"/>
        </w:rPr>
        <w:footnoteRef/>
      </w:r>
      <w:r>
        <w:rPr>
          <w:sz w:val="20"/>
          <w:szCs w:val="20"/>
        </w:rPr>
        <w:t xml:space="preserve"> </w:t>
      </w:r>
      <w:r>
        <w:rPr>
          <w:rFonts w:ascii="Times New Roman" w:eastAsia="Times New Roman" w:hAnsi="Times New Roman" w:cs="Times New Roman"/>
          <w:highlight w:val="white"/>
        </w:rPr>
        <w:t xml:space="preserve">Mills, Charles. </w:t>
      </w:r>
      <w:r>
        <w:rPr>
          <w:rFonts w:ascii="Times New Roman" w:eastAsia="Times New Roman" w:hAnsi="Times New Roman" w:cs="Times New Roman"/>
          <w:i/>
        </w:rPr>
        <w:t>History Of Chivalry Vol I</w:t>
      </w:r>
      <w:r>
        <w:rPr>
          <w:rFonts w:ascii="Times New Roman" w:eastAsia="Times New Roman" w:hAnsi="Times New Roman" w:cs="Times New Roman"/>
          <w:highlight w:val="white"/>
        </w:rPr>
        <w:t>. Routledge, 2013.</w:t>
      </w:r>
    </w:p>
  </w:footnote>
  <w:footnote w:id="2">
    <w:p w14:paraId="4B6A61F3" w14:textId="77777777" w:rsidR="00A308D1" w:rsidRDefault="00A308D1" w:rsidP="00A308D1">
      <w:pPr>
        <w:rPr>
          <w:sz w:val="20"/>
          <w:szCs w:val="20"/>
        </w:rPr>
      </w:pPr>
      <w:r>
        <w:rPr>
          <w:vertAlign w:val="superscript"/>
        </w:rPr>
        <w:footnoteRef/>
      </w:r>
      <w:r>
        <w:rPr>
          <w:sz w:val="20"/>
          <w:szCs w:val="20"/>
        </w:rPr>
        <w:t xml:space="preserve"> </w:t>
      </w:r>
      <w:r>
        <w:rPr>
          <w:rFonts w:ascii="Times New Roman" w:eastAsia="Times New Roman" w:hAnsi="Times New Roman" w:cs="Times New Roman"/>
        </w:rPr>
        <w:t xml:space="preserve">Moss, H. St L. B. </w:t>
      </w:r>
      <w:r>
        <w:rPr>
          <w:rFonts w:ascii="Times New Roman" w:eastAsia="Times New Roman" w:hAnsi="Times New Roman" w:cs="Times New Roman"/>
          <w:i/>
        </w:rPr>
        <w:t>The Birth of the Middle Ages: 395-814</w:t>
      </w:r>
      <w:r>
        <w:rPr>
          <w:rFonts w:ascii="Times New Roman" w:eastAsia="Times New Roman" w:hAnsi="Times New Roman" w:cs="Times New Roman"/>
        </w:rPr>
        <w:t xml:space="preserve">. The Folio Society, 1998. </w:t>
      </w:r>
    </w:p>
  </w:footnote>
  <w:footnote w:id="3">
    <w:p w14:paraId="4B3C74C1"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Will be referred to as </w:t>
      </w:r>
      <w:r>
        <w:rPr>
          <w:rFonts w:ascii="Times New Roman" w:eastAsia="Times New Roman" w:hAnsi="Times New Roman" w:cs="Times New Roman"/>
          <w:i/>
        </w:rPr>
        <w:t>Homo Deus</w:t>
      </w:r>
      <w:r>
        <w:rPr>
          <w:rFonts w:ascii="Times New Roman" w:eastAsia="Times New Roman" w:hAnsi="Times New Roman" w:cs="Times New Roman"/>
        </w:rPr>
        <w:t xml:space="preserve"> going forward.</w:t>
      </w:r>
    </w:p>
  </w:footnote>
  <w:footnote w:id="4">
    <w:p w14:paraId="6957E2E8"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Witt, William G., and Joel Scandrett. </w:t>
      </w:r>
      <w:r>
        <w:rPr>
          <w:rFonts w:ascii="Times New Roman" w:eastAsia="Times New Roman" w:hAnsi="Times New Roman" w:cs="Times New Roman"/>
          <w:i/>
        </w:rPr>
        <w:t>Mapping Atonement: The Doctrine of Reconciliation in Christian History and Theology</w:t>
      </w:r>
      <w:r>
        <w:rPr>
          <w:rFonts w:ascii="Times New Roman" w:eastAsia="Times New Roman" w:hAnsi="Times New Roman" w:cs="Times New Roman"/>
          <w:highlight w:val="white"/>
        </w:rPr>
        <w:t>. Baker Books, 2022.</w:t>
      </w:r>
    </w:p>
  </w:footnote>
  <w:footnote w:id="5">
    <w:p w14:paraId="6BA8D377" w14:textId="77777777" w:rsidR="00A308D1" w:rsidRDefault="00A308D1" w:rsidP="00A308D1">
      <w:pPr>
        <w:rPr>
          <w:rFonts w:ascii="Times New Roman" w:eastAsia="Times New Roman" w:hAnsi="Times New Roman" w:cs="Times New Roman"/>
        </w:rPr>
      </w:pPr>
      <w:r>
        <w:rPr>
          <w:vertAlign w:val="superscript"/>
        </w:rPr>
        <w:footnoteRef/>
      </w:r>
      <w:r>
        <w:rPr>
          <w:rFonts w:ascii="Times New Roman" w:eastAsia="Times New Roman" w:hAnsi="Times New Roman" w:cs="Times New Roman"/>
          <w:highlight w:val="white"/>
        </w:rPr>
        <w:t xml:space="preserve">Barraclough, Geoffrey. </w:t>
      </w:r>
      <w:r>
        <w:rPr>
          <w:rFonts w:ascii="Times New Roman" w:eastAsia="Times New Roman" w:hAnsi="Times New Roman" w:cs="Times New Roman"/>
          <w:i/>
        </w:rPr>
        <w:t>The crucible of Europe: the ninth and tenth centuries in European history</w:t>
      </w:r>
      <w:r>
        <w:rPr>
          <w:rFonts w:ascii="Times New Roman" w:eastAsia="Times New Roman" w:hAnsi="Times New Roman" w:cs="Times New Roman"/>
          <w:highlight w:val="white"/>
        </w:rPr>
        <w:t>. Berkeley: University of California Press, 1976.</w:t>
      </w:r>
    </w:p>
  </w:footnote>
  <w:footnote w:id="6">
    <w:p w14:paraId="46C57FBB" w14:textId="77777777" w:rsidR="00A308D1" w:rsidRDefault="00A308D1" w:rsidP="00A308D1">
      <w:pPr>
        <w:rPr>
          <w:rFonts w:ascii="Times New Roman" w:eastAsia="Times New Roman" w:hAnsi="Times New Roman" w:cs="Times New Roman"/>
          <w:highlight w:val="yellow"/>
        </w:rPr>
      </w:pPr>
      <w:r>
        <w:rPr>
          <w:vertAlign w:val="superscript"/>
        </w:rPr>
        <w:footnoteRef/>
      </w:r>
      <w:r>
        <w:rPr>
          <w:sz w:val="20"/>
          <w:szCs w:val="20"/>
        </w:rPr>
        <w:t xml:space="preserve"> </w:t>
      </w:r>
      <w:r>
        <w:rPr>
          <w:rFonts w:ascii="Times New Roman" w:eastAsia="Times New Roman" w:hAnsi="Times New Roman" w:cs="Times New Roman"/>
          <w:highlight w:val="white"/>
        </w:rPr>
        <w:t xml:space="preserve">Rittgers, Ronald K. </w:t>
      </w:r>
      <w:r>
        <w:rPr>
          <w:rFonts w:ascii="Times New Roman" w:eastAsia="Times New Roman" w:hAnsi="Times New Roman" w:cs="Times New Roman"/>
          <w:i/>
        </w:rPr>
        <w:t>The reformation of suffering: Pastoral theology and lay piety in late medieval and early modern Germany</w:t>
      </w:r>
      <w:r>
        <w:rPr>
          <w:rFonts w:ascii="Times New Roman" w:eastAsia="Times New Roman" w:hAnsi="Times New Roman" w:cs="Times New Roman"/>
          <w:highlight w:val="white"/>
        </w:rPr>
        <w:t>. Oxford University Press, 2012.</w:t>
      </w:r>
    </w:p>
  </w:footnote>
  <w:footnote w:id="7">
    <w:p w14:paraId="21C1FA62"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Watson, Nicholas. "The Powers of the Holy: Religion, Politics, and Gender in Late Medieval English Culture by David Aers and Lynn Staley." </w:t>
      </w:r>
      <w:r>
        <w:rPr>
          <w:rFonts w:ascii="Times New Roman" w:eastAsia="Times New Roman" w:hAnsi="Times New Roman" w:cs="Times New Roman"/>
          <w:i/>
        </w:rPr>
        <w:t>Studies in the Age of Chaucer</w:t>
      </w:r>
      <w:r>
        <w:rPr>
          <w:rFonts w:ascii="Times New Roman" w:eastAsia="Times New Roman" w:hAnsi="Times New Roman" w:cs="Times New Roman"/>
          <w:highlight w:val="white"/>
        </w:rPr>
        <w:t xml:space="preserve"> 20, no. 1 (1998): 219-226.</w:t>
      </w:r>
    </w:p>
  </w:footnote>
  <w:footnote w:id="8">
    <w:p w14:paraId="29AF4616"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Kaeuper, Richard W. </w:t>
      </w:r>
      <w:r>
        <w:rPr>
          <w:rFonts w:ascii="Times New Roman" w:eastAsia="Times New Roman" w:hAnsi="Times New Roman" w:cs="Times New Roman"/>
          <w:i/>
        </w:rPr>
        <w:t>Holy warriors: The religious ideology of chivalry</w:t>
      </w:r>
      <w:r>
        <w:rPr>
          <w:rFonts w:ascii="Times New Roman" w:eastAsia="Times New Roman" w:hAnsi="Times New Roman" w:cs="Times New Roman"/>
          <w:highlight w:val="white"/>
        </w:rPr>
        <w:t>. University of Pennsylvania Press, 2012.</w:t>
      </w:r>
    </w:p>
  </w:footnote>
  <w:footnote w:id="9">
    <w:p w14:paraId="44209495" w14:textId="77777777" w:rsidR="00A308D1" w:rsidRDefault="00A308D1" w:rsidP="00A308D1">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I will refer to it as the Combination Theory. </w:t>
      </w:r>
    </w:p>
  </w:footnote>
  <w:footnote w:id="10">
    <w:p w14:paraId="30F0E2C2"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Maier, Christoph T. </w:t>
      </w:r>
      <w:r>
        <w:rPr>
          <w:rFonts w:ascii="Times New Roman" w:eastAsia="Times New Roman" w:hAnsi="Times New Roman" w:cs="Times New Roman"/>
          <w:i/>
        </w:rPr>
        <w:t>Crusade propaganda and ideology: model sermons for the preaching of the cross</w:t>
      </w:r>
      <w:r>
        <w:rPr>
          <w:rFonts w:ascii="Times New Roman" w:eastAsia="Times New Roman" w:hAnsi="Times New Roman" w:cs="Times New Roman"/>
          <w:highlight w:val="white"/>
        </w:rPr>
        <w:t>. Cambridge University Press, 2000.</w:t>
      </w:r>
    </w:p>
  </w:footnote>
  <w:footnote w:id="11">
    <w:p w14:paraId="24380305"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Maier, Christoph T. </w:t>
      </w:r>
      <w:r>
        <w:rPr>
          <w:rFonts w:ascii="Times New Roman" w:eastAsia="Times New Roman" w:hAnsi="Times New Roman" w:cs="Times New Roman"/>
          <w:i/>
        </w:rPr>
        <w:t>Crusade propaganda and ideology: model sermons for the preaching of the cross</w:t>
      </w:r>
      <w:r>
        <w:rPr>
          <w:rFonts w:ascii="Times New Roman" w:eastAsia="Times New Roman" w:hAnsi="Times New Roman" w:cs="Times New Roman"/>
          <w:highlight w:val="white"/>
        </w:rPr>
        <w:t>. Cambridge University Press, 2000.</w:t>
      </w:r>
    </w:p>
  </w:footnote>
  <w:footnote w:id="12">
    <w:p w14:paraId="13D8A8CA"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Kaeuper, Richard W. </w:t>
      </w:r>
      <w:r>
        <w:rPr>
          <w:rFonts w:ascii="Times New Roman" w:eastAsia="Times New Roman" w:hAnsi="Times New Roman" w:cs="Times New Roman"/>
          <w:i/>
        </w:rPr>
        <w:t>Holy warriors: The religious ideology of chivalry</w:t>
      </w:r>
      <w:r>
        <w:rPr>
          <w:rFonts w:ascii="Times New Roman" w:eastAsia="Times New Roman" w:hAnsi="Times New Roman" w:cs="Times New Roman"/>
          <w:highlight w:val="white"/>
        </w:rPr>
        <w:t>. University of Pennsylvania Press, 2012.</w:t>
      </w:r>
    </w:p>
  </w:footnote>
  <w:footnote w:id="13">
    <w:p w14:paraId="79D01C47"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It is assumed by historians that stories and rules regarding Chivalry were written down during the 400 years between Charlemagne and </w:t>
      </w:r>
      <w:r>
        <w:rPr>
          <w:rFonts w:ascii="Times New Roman" w:eastAsia="Times New Roman" w:hAnsi="Times New Roman" w:cs="Times New Roman"/>
          <w:i/>
        </w:rPr>
        <w:t xml:space="preserve">Ordene de Chevalerie, </w:t>
      </w:r>
      <w:r>
        <w:rPr>
          <w:rFonts w:ascii="Times New Roman" w:eastAsia="Times New Roman" w:hAnsi="Times New Roman" w:cs="Times New Roman"/>
        </w:rPr>
        <w:t>but none survived.</w:t>
      </w:r>
    </w:p>
  </w:footnote>
  <w:footnote w:id="14">
    <w:p w14:paraId="3FD9DA43" w14:textId="77777777" w:rsidR="00A308D1" w:rsidRDefault="00A308D1" w:rsidP="00A308D1">
      <w:pPr>
        <w:rPr>
          <w:rFonts w:ascii="Times New Roman" w:eastAsia="Times New Roman" w:hAnsi="Times New Roman" w:cs="Times New Roman"/>
        </w:rPr>
      </w:pPr>
      <w:r>
        <w:rPr>
          <w:vertAlign w:val="superscript"/>
        </w:rPr>
        <w:footnoteRef/>
      </w:r>
      <w:r>
        <w:rPr>
          <w:rFonts w:ascii="Times New Roman" w:eastAsia="Times New Roman" w:hAnsi="Times New Roman" w:cs="Times New Roman"/>
          <w:highlight w:val="white"/>
        </w:rPr>
        <w:t xml:space="preserve">House, Roy Temple, ed. </w:t>
      </w:r>
      <w:r>
        <w:rPr>
          <w:rFonts w:ascii="Times New Roman" w:eastAsia="Times New Roman" w:hAnsi="Times New Roman" w:cs="Times New Roman"/>
          <w:i/>
        </w:rPr>
        <w:t>L'Ordene de Chevalerie</w:t>
      </w:r>
      <w:r>
        <w:rPr>
          <w:rFonts w:ascii="Times New Roman" w:eastAsia="Times New Roman" w:hAnsi="Times New Roman" w:cs="Times New Roman"/>
          <w:highlight w:val="white"/>
        </w:rPr>
        <w:t>. University of Chicago, 1918.</w:t>
      </w:r>
    </w:p>
  </w:footnote>
  <w:footnote w:id="15">
    <w:p w14:paraId="23970998"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This is partially due to the age of the poem and the documents that cite it. </w:t>
      </w:r>
    </w:p>
  </w:footnote>
  <w:footnote w:id="16">
    <w:p w14:paraId="7457CA1B" w14:textId="77777777" w:rsidR="00A308D1" w:rsidRDefault="00A308D1" w:rsidP="00A308D1">
      <w:pPr>
        <w:spacing w:line="297" w:lineRule="auto"/>
        <w:rPr>
          <w:sz w:val="20"/>
          <w:szCs w:val="20"/>
        </w:rPr>
      </w:pPr>
      <w:r>
        <w:rPr>
          <w:vertAlign w:val="superscript"/>
        </w:rPr>
        <w:footnoteRef/>
      </w:r>
      <w:r>
        <w:rPr>
          <w:rFonts w:ascii="Times New Roman" w:eastAsia="Times New Roman" w:hAnsi="Times New Roman" w:cs="Times New Roman"/>
        </w:rPr>
        <w:t xml:space="preserve">De Charny, Geoffroi. </w:t>
      </w:r>
      <w:r>
        <w:rPr>
          <w:rFonts w:ascii="Times New Roman" w:eastAsia="Times New Roman" w:hAnsi="Times New Roman" w:cs="Times New Roman"/>
          <w:i/>
        </w:rPr>
        <w:t>A Knight's own book of Chivalry</w:t>
      </w:r>
      <w:r>
        <w:rPr>
          <w:rFonts w:ascii="Times New Roman" w:eastAsia="Times New Roman" w:hAnsi="Times New Roman" w:cs="Times New Roman"/>
        </w:rPr>
        <w:t>. University of Pennsylvania Press, 2005.</w:t>
      </w:r>
    </w:p>
  </w:footnote>
  <w:footnote w:id="17">
    <w:p w14:paraId="66F16F5C"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Faerie is the word used by Tolkien to denote magical qualities. It comes from the Gaelic myths where fae meant some level of supernatural. </w:t>
      </w:r>
    </w:p>
  </w:footnote>
  <w:footnote w:id="18">
    <w:p w14:paraId="5749F882"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Going forward will referred to as </w:t>
      </w:r>
      <w:r>
        <w:rPr>
          <w:rFonts w:ascii="Times New Roman" w:eastAsia="Times New Roman" w:hAnsi="Times New Roman" w:cs="Times New Roman"/>
          <w:i/>
        </w:rPr>
        <w:t>The Battle</w:t>
      </w:r>
    </w:p>
  </w:footnote>
  <w:footnote w:id="19">
    <w:p w14:paraId="4BCF7622" w14:textId="77777777" w:rsidR="00A308D1" w:rsidRDefault="00A308D1" w:rsidP="00A308D1">
      <w:pPr>
        <w:rPr>
          <w:rFonts w:ascii="Times New Roman" w:eastAsia="Times New Roman" w:hAnsi="Times New Roman" w:cs="Times New Roman"/>
          <w:i/>
        </w:rPr>
      </w:pPr>
      <w:r>
        <w:rPr>
          <w:vertAlign w:val="superscript"/>
        </w:rPr>
        <w:footnoteRef/>
      </w:r>
      <w:r>
        <w:rPr>
          <w:sz w:val="20"/>
          <w:szCs w:val="20"/>
        </w:rPr>
        <w:t xml:space="preserve"> </w:t>
      </w:r>
      <w:r>
        <w:rPr>
          <w:rFonts w:ascii="Times New Roman" w:eastAsia="Times New Roman" w:hAnsi="Times New Roman" w:cs="Times New Roman"/>
        </w:rPr>
        <w:t xml:space="preserve">Going forward will be referred to as </w:t>
      </w:r>
      <w:r>
        <w:rPr>
          <w:rFonts w:ascii="Times New Roman" w:eastAsia="Times New Roman" w:hAnsi="Times New Roman" w:cs="Times New Roman"/>
          <w:i/>
        </w:rPr>
        <w:t>The Homecoming</w:t>
      </w:r>
    </w:p>
  </w:footnote>
  <w:footnote w:id="20">
    <w:p w14:paraId="70F3C732"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Macrae-Gibson, O. D. "HOW HISTORICAL IS" THE BATTLE OF MALDON?"." </w:t>
      </w:r>
      <w:r>
        <w:rPr>
          <w:rFonts w:ascii="Times New Roman" w:eastAsia="Times New Roman" w:hAnsi="Times New Roman" w:cs="Times New Roman"/>
          <w:i/>
        </w:rPr>
        <w:t>Medium Ævum</w:t>
      </w:r>
      <w:r>
        <w:rPr>
          <w:rFonts w:ascii="Times New Roman" w:eastAsia="Times New Roman" w:hAnsi="Times New Roman" w:cs="Times New Roman"/>
          <w:highlight w:val="white"/>
        </w:rPr>
        <w:t xml:space="preserve"> 39, no. 2 (1970): 89-107.</w:t>
      </w:r>
    </w:p>
  </w:footnote>
  <w:footnote w:id="21">
    <w:p w14:paraId="532DC8FE" w14:textId="77777777" w:rsidR="00A308D1" w:rsidRDefault="00A308D1" w:rsidP="00A308D1">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footnote>
  <w:footnote w:id="22">
    <w:p w14:paraId="1E848D78"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footnote>
  <w:footnote w:id="23">
    <w:p w14:paraId="5E33FC39"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footnote>
  <w:footnote w:id="24">
    <w:p w14:paraId="0B60096D"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Stratmann, Francis Henry. </w:t>
      </w:r>
      <w:r>
        <w:rPr>
          <w:rFonts w:ascii="Times New Roman" w:eastAsia="Times New Roman" w:hAnsi="Times New Roman" w:cs="Times New Roman"/>
          <w:i/>
        </w:rPr>
        <w:t>Dictionary of the Old English Language</w:t>
      </w:r>
      <w:r>
        <w:rPr>
          <w:rFonts w:ascii="Times New Roman" w:eastAsia="Times New Roman" w:hAnsi="Times New Roman" w:cs="Times New Roman"/>
          <w:highlight w:val="white"/>
        </w:rPr>
        <w:t>. BoD–Books on Demand, 2023.</w:t>
      </w:r>
    </w:p>
  </w:footnote>
  <w:footnote w:id="25">
    <w:p w14:paraId="7E565197"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footnote>
  <w:footnote w:id="26">
    <w:p w14:paraId="50851A7F"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 R. R. </w:t>
      </w:r>
      <w:r>
        <w:rPr>
          <w:rFonts w:ascii="Times New Roman" w:eastAsia="Times New Roman" w:hAnsi="Times New Roman" w:cs="Times New Roman"/>
          <w:i/>
        </w:rPr>
        <w:t>The Battle of Maldon</w:t>
      </w:r>
      <w:r>
        <w:rPr>
          <w:rFonts w:ascii="Times New Roman" w:eastAsia="Times New Roman" w:hAnsi="Times New Roman" w:cs="Times New Roman"/>
          <w:highlight w:val="white"/>
        </w:rPr>
        <w:t>. HarperCollins Canada, Limited, 2023.</w:t>
      </w:r>
    </w:p>
  </w:footnote>
  <w:footnote w:id="27">
    <w:p w14:paraId="1D5651BB"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"The Homecoming of Beorhtnoth Beorhthelm's Son." </w:t>
      </w:r>
      <w:r>
        <w:rPr>
          <w:rFonts w:ascii="Times New Roman" w:eastAsia="Times New Roman" w:hAnsi="Times New Roman" w:cs="Times New Roman"/>
          <w:i/>
        </w:rPr>
        <w:t>Essays and Studies</w:t>
      </w:r>
      <w:r>
        <w:rPr>
          <w:rFonts w:ascii="Times New Roman" w:eastAsia="Times New Roman" w:hAnsi="Times New Roman" w:cs="Times New Roman"/>
          <w:highlight w:val="white"/>
        </w:rPr>
        <w:t xml:space="preserve"> 6, no. 1953 (1953): 1-18.</w:t>
      </w:r>
    </w:p>
  </w:footnote>
  <w:footnote w:id="28">
    <w:p w14:paraId="138A3360"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"The Homecoming of Beorhtnoth Beorhthelm's Son." </w:t>
      </w:r>
      <w:r>
        <w:rPr>
          <w:rFonts w:ascii="Times New Roman" w:eastAsia="Times New Roman" w:hAnsi="Times New Roman" w:cs="Times New Roman"/>
          <w:i/>
        </w:rPr>
        <w:t>Essays and Studies</w:t>
      </w:r>
      <w:r>
        <w:rPr>
          <w:rFonts w:ascii="Times New Roman" w:eastAsia="Times New Roman" w:hAnsi="Times New Roman" w:cs="Times New Roman"/>
          <w:highlight w:val="white"/>
        </w:rPr>
        <w:t xml:space="preserve"> 6, no. 1953 (1953): 1-18.</w:t>
      </w:r>
    </w:p>
  </w:footnote>
  <w:footnote w:id="29">
    <w:p w14:paraId="37E1A572"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"The Homecoming of Beorhtnoth Beorhthelm's Son." </w:t>
      </w:r>
      <w:r>
        <w:rPr>
          <w:rFonts w:ascii="Times New Roman" w:eastAsia="Times New Roman" w:hAnsi="Times New Roman" w:cs="Times New Roman"/>
          <w:i/>
        </w:rPr>
        <w:t>Essays and Studies</w:t>
      </w:r>
      <w:r>
        <w:rPr>
          <w:rFonts w:ascii="Times New Roman" w:eastAsia="Times New Roman" w:hAnsi="Times New Roman" w:cs="Times New Roman"/>
          <w:highlight w:val="white"/>
        </w:rPr>
        <w:t xml:space="preserve"> 6, no. 1953 (1953): 1-18.</w:t>
      </w:r>
    </w:p>
    <w:p w14:paraId="6694C966" w14:textId="77777777" w:rsidR="00A308D1" w:rsidRDefault="00A308D1" w:rsidP="00A308D1">
      <w:pPr>
        <w:rPr>
          <w:sz w:val="20"/>
          <w:szCs w:val="20"/>
        </w:rPr>
      </w:pPr>
    </w:p>
  </w:footnote>
  <w:footnote w:id="30">
    <w:p w14:paraId="74FF36BA"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Written as </w:t>
      </w:r>
      <w:r>
        <w:rPr>
          <w:rFonts w:ascii="Times New Roman" w:eastAsia="Times New Roman" w:hAnsi="Times New Roman" w:cs="Times New Roman"/>
          <w:i/>
        </w:rPr>
        <w:t>The Lay</w:t>
      </w:r>
      <w:r>
        <w:rPr>
          <w:rFonts w:ascii="Times New Roman" w:eastAsia="Times New Roman" w:hAnsi="Times New Roman" w:cs="Times New Roman"/>
        </w:rPr>
        <w:t xml:space="preserve"> going forward</w:t>
      </w:r>
    </w:p>
  </w:footnote>
  <w:footnote w:id="31">
    <w:p w14:paraId="7DE37441"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32">
    <w:p w14:paraId="19EFD707"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Lord</w:t>
      </w:r>
    </w:p>
  </w:footnote>
  <w:footnote w:id="33">
    <w:p w14:paraId="2118F34C" w14:textId="77777777" w:rsidR="00A308D1" w:rsidRDefault="00A308D1" w:rsidP="00A308D1">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Lady</w:t>
      </w:r>
    </w:p>
  </w:footnote>
  <w:footnote w:id="34">
    <w:p w14:paraId="553A7696"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Sexual intercourse </w:t>
      </w:r>
    </w:p>
  </w:footnote>
  <w:footnote w:id="35">
    <w:p w14:paraId="3EE43960"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36">
    <w:p w14:paraId="5479EC65"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37">
    <w:p w14:paraId="646EB455"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38">
    <w:p w14:paraId="06091253"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De Charny, Geoffroi. </w:t>
      </w:r>
      <w:r>
        <w:rPr>
          <w:rFonts w:ascii="Times New Roman" w:eastAsia="Times New Roman" w:hAnsi="Times New Roman" w:cs="Times New Roman"/>
          <w:i/>
        </w:rPr>
        <w:t>A Knight's own book of Chivalry</w:t>
      </w:r>
      <w:r>
        <w:rPr>
          <w:rFonts w:ascii="Times New Roman" w:eastAsia="Times New Roman" w:hAnsi="Times New Roman" w:cs="Times New Roman"/>
        </w:rPr>
        <w:t>. University of Pennsylvania Press, 2005.</w:t>
      </w:r>
    </w:p>
  </w:footnote>
  <w:footnote w:id="39">
    <w:p w14:paraId="2510ADC8"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40">
    <w:p w14:paraId="0BE78AE8"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Sir Gawain and Arthur</w:t>
      </w:r>
    </w:p>
  </w:footnote>
  <w:footnote w:id="41">
    <w:p w14:paraId="4CC89111"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42">
    <w:p w14:paraId="45720826"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Lay of Aotrou and Itroun: Together with the Corrigan Poems</w:t>
      </w:r>
      <w:r>
        <w:rPr>
          <w:rFonts w:ascii="Times New Roman" w:eastAsia="Times New Roman" w:hAnsi="Times New Roman" w:cs="Times New Roman"/>
          <w:highlight w:val="white"/>
        </w:rPr>
        <w:t>. Houghton Mifflin Harcourt, 2017.</w:t>
      </w:r>
    </w:p>
  </w:footnote>
  <w:footnote w:id="43">
    <w:p w14:paraId="42AF84E1"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Will be called </w:t>
      </w:r>
      <w:r>
        <w:rPr>
          <w:rFonts w:ascii="Times New Roman" w:eastAsia="Times New Roman" w:hAnsi="Times New Roman" w:cs="Times New Roman"/>
          <w:i/>
        </w:rPr>
        <w:t xml:space="preserve">The Fall </w:t>
      </w:r>
      <w:r>
        <w:rPr>
          <w:rFonts w:ascii="Times New Roman" w:eastAsia="Times New Roman" w:hAnsi="Times New Roman" w:cs="Times New Roman"/>
        </w:rPr>
        <w:t>going forward.</w:t>
      </w:r>
    </w:p>
  </w:footnote>
  <w:footnote w:id="44">
    <w:p w14:paraId="628974DE"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John Ronald Reuel. </w:t>
      </w:r>
      <w:r>
        <w:rPr>
          <w:rFonts w:ascii="Times New Roman" w:eastAsia="Times New Roman" w:hAnsi="Times New Roman" w:cs="Times New Roman"/>
          <w:i/>
        </w:rPr>
        <w:t>The Fall of Arthur</w:t>
      </w:r>
      <w:r>
        <w:rPr>
          <w:rFonts w:ascii="Times New Roman" w:eastAsia="Times New Roman" w:hAnsi="Times New Roman" w:cs="Times New Roman"/>
          <w:highlight w:val="white"/>
        </w:rPr>
        <w:t>. Houghton Mifflin Harcourt, 2013.</w:t>
      </w:r>
    </w:p>
  </w:footnote>
  <w:footnote w:id="45">
    <w:p w14:paraId="4E554D47"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Tolkien, Priscilla. "The Biography." </w:t>
      </w:r>
      <w:r>
        <w:rPr>
          <w:rFonts w:ascii="Times New Roman" w:eastAsia="Times New Roman" w:hAnsi="Times New Roman" w:cs="Times New Roman"/>
          <w:i/>
        </w:rPr>
        <w:t>Mallorn: The Journal of the Tolkien Society</w:t>
      </w:r>
      <w:r>
        <w:rPr>
          <w:rFonts w:ascii="Times New Roman" w:eastAsia="Times New Roman" w:hAnsi="Times New Roman" w:cs="Times New Roman"/>
          <w:highlight w:val="white"/>
        </w:rPr>
        <w:t xml:space="preserve"> 12 (1978): 5-6.</w:t>
      </w:r>
    </w:p>
  </w:footnote>
  <w:footnote w:id="46">
    <w:p w14:paraId="39827476"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Zaleski, Philip, and Carol Zaleski. </w:t>
      </w:r>
      <w:r>
        <w:rPr>
          <w:rFonts w:ascii="Times New Roman" w:eastAsia="Times New Roman" w:hAnsi="Times New Roman" w:cs="Times New Roman"/>
          <w:i/>
        </w:rPr>
        <w:t>The Fellowship: The Literary Lives of the Inklings: JRR Tolkien, CS Lewis, Owen Barfield, Charles Williams</w:t>
      </w:r>
      <w:r>
        <w:rPr>
          <w:rFonts w:ascii="Times New Roman" w:eastAsia="Times New Roman" w:hAnsi="Times New Roman" w:cs="Times New Roman"/>
          <w:highlight w:val="white"/>
        </w:rPr>
        <w:t>. Farrar, Straus and Giroux, 2015.</w:t>
      </w:r>
    </w:p>
  </w:footnote>
  <w:footnote w:id="47">
    <w:p w14:paraId="5CBA9A46"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Both characters are main protagonists in </w:t>
      </w:r>
      <w:r>
        <w:rPr>
          <w:rFonts w:ascii="Times New Roman" w:eastAsia="Times New Roman" w:hAnsi="Times New Roman" w:cs="Times New Roman"/>
          <w:i/>
        </w:rPr>
        <w:t>Lord of the Rings.</w:t>
      </w:r>
    </w:p>
  </w:footnote>
  <w:footnote w:id="48">
    <w:p w14:paraId="7DBD4D3D" w14:textId="77777777" w:rsidR="00A308D1" w:rsidRDefault="00A308D1" w:rsidP="00A308D1">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 xml:space="preserve">Carpenter, Humphrey. </w:t>
      </w:r>
      <w:r>
        <w:rPr>
          <w:rFonts w:ascii="Times New Roman" w:eastAsia="Times New Roman" w:hAnsi="Times New Roman" w:cs="Times New Roman"/>
          <w:i/>
        </w:rPr>
        <w:t>The letters of JRR Tolkien</w:t>
      </w:r>
      <w:r>
        <w:rPr>
          <w:rFonts w:ascii="Times New Roman" w:eastAsia="Times New Roman" w:hAnsi="Times New Roman" w:cs="Times New Roman"/>
          <w:highlight w:val="white"/>
        </w:rPr>
        <w:t>. Vol. 140. Boston: Houghton Mifflin, 1981.</w:t>
      </w:r>
    </w:p>
  </w:footnote>
  <w:footnote w:id="49">
    <w:p w14:paraId="518F05CC" w14:textId="5600240D" w:rsidR="005448BC" w:rsidRPr="005403B0" w:rsidRDefault="005448BC" w:rsidP="00725849">
      <w:pPr>
        <w:pStyle w:val="footnotedescription"/>
        <w:spacing w:line="247" w:lineRule="auto"/>
        <w:ind w:left="0" w:firstLine="721"/>
        <w:rPr>
          <w:sz w:val="24"/>
        </w:rPr>
      </w:pPr>
      <w:r>
        <w:rPr>
          <w:rStyle w:val="FootnoteReference"/>
          <w:rFonts w:asciiTheme="minorHAnsi" w:eastAsiaTheme="minorHAnsi" w:hAnsiTheme="minorHAnsi" w:cstheme="minorBidi"/>
          <w:color w:val="auto"/>
          <w:szCs w:val="20"/>
        </w:rPr>
        <w:t>1</w:t>
      </w:r>
      <w:r w:rsidRPr="005403B0">
        <w:rPr>
          <w:sz w:val="24"/>
        </w:rPr>
        <w:t xml:space="preserve"> “Eucharistic Prayer 1 (The Roman Canon),” Eucharist: The Basic Spirituality, accessed November 25, 2022, https://theeucharist.wordpress.com/index/appendix-of-eucharistic-prayers/eucharistic-prayer-1/. </w:t>
      </w:r>
    </w:p>
  </w:footnote>
  <w:footnote w:id="50">
    <w:p w14:paraId="068C6DC6" w14:textId="77777777" w:rsidR="00725849" w:rsidRDefault="00725849" w:rsidP="00725849">
      <w:pPr>
        <w:pStyle w:val="footnotedescription"/>
        <w:spacing w:line="267" w:lineRule="auto"/>
        <w:ind w:left="0" w:firstLine="721"/>
      </w:pPr>
      <w:r w:rsidRPr="005403B0">
        <w:rPr>
          <w:rStyle w:val="footnotemark"/>
          <w:sz w:val="24"/>
        </w:rPr>
        <w:footnoteRef/>
      </w:r>
      <w:r w:rsidRPr="005403B0">
        <w:rPr>
          <w:sz w:val="24"/>
        </w:rPr>
        <w:t xml:space="preserve"> These saints are also venerated in both Orthodox Churches. For the sake of the scope of this essay, Catholic Church will be utilized, although many of these same claims apply to the Orthodox Church.</w:t>
      </w:r>
      <w:r>
        <w:rPr>
          <w:rFonts w:ascii="Calibri" w:eastAsia="Calibri" w:hAnsi="Calibri" w:cs="Calibri"/>
        </w:rPr>
        <w:t xml:space="preserve"> </w:t>
      </w:r>
    </w:p>
  </w:footnote>
  <w:footnote w:id="51">
    <w:p w14:paraId="545C0C09" w14:textId="77777777" w:rsidR="00725849" w:rsidRPr="005403B0" w:rsidRDefault="00725849" w:rsidP="00725849">
      <w:pPr>
        <w:pStyle w:val="footnotedescription"/>
        <w:ind w:left="0" w:firstLine="720"/>
        <w:rPr>
          <w:sz w:val="24"/>
        </w:rPr>
      </w:pPr>
      <w:r w:rsidRPr="005403B0">
        <w:rPr>
          <w:rStyle w:val="footnotemark"/>
          <w:sz w:val="24"/>
        </w:rPr>
        <w:footnoteRef/>
      </w:r>
      <w:r w:rsidRPr="005403B0">
        <w:rPr>
          <w:sz w:val="24"/>
        </w:rPr>
        <w:t xml:space="preserve"> Candida Moss, </w:t>
      </w:r>
      <w:r w:rsidRPr="005403B0">
        <w:rPr>
          <w:i/>
          <w:sz w:val="24"/>
        </w:rPr>
        <w:t>Ancient Christian Martyrdom</w:t>
      </w:r>
      <w:r w:rsidRPr="005403B0">
        <w:rPr>
          <w:sz w:val="24"/>
        </w:rPr>
        <w:t xml:space="preserve"> (New Haven: Yale University Press, 2012), 17. </w:t>
      </w:r>
    </w:p>
  </w:footnote>
  <w:footnote w:id="52">
    <w:p w14:paraId="6A469D91" w14:textId="77777777" w:rsidR="00725849" w:rsidRPr="005403B0" w:rsidRDefault="00725849" w:rsidP="00725849">
      <w:pPr>
        <w:pStyle w:val="footnotedescription"/>
        <w:ind w:left="0" w:firstLine="720"/>
        <w:rPr>
          <w:sz w:val="24"/>
        </w:rPr>
      </w:pPr>
      <w:r w:rsidRPr="005403B0">
        <w:rPr>
          <w:rStyle w:val="footnotemark"/>
          <w:sz w:val="24"/>
        </w:rPr>
        <w:footnoteRef/>
      </w:r>
      <w:r w:rsidRPr="005403B0">
        <w:rPr>
          <w:sz w:val="24"/>
        </w:rPr>
        <w:t xml:space="preserve"> Moss, </w:t>
      </w:r>
      <w:r w:rsidRPr="005403B0">
        <w:rPr>
          <w:i/>
          <w:sz w:val="24"/>
        </w:rPr>
        <w:t>Ancient Christian Martyrdom</w:t>
      </w:r>
      <w:r w:rsidRPr="005403B0">
        <w:rPr>
          <w:sz w:val="24"/>
        </w:rPr>
        <w:t xml:space="preserve">, 17. </w:t>
      </w:r>
    </w:p>
  </w:footnote>
  <w:footnote w:id="53">
    <w:p w14:paraId="3217BDE3" w14:textId="77777777" w:rsidR="00725849" w:rsidRPr="005403B0" w:rsidRDefault="00725849" w:rsidP="00725849">
      <w:pPr>
        <w:pStyle w:val="footnotedescription"/>
        <w:spacing w:line="250" w:lineRule="auto"/>
        <w:ind w:left="0" w:firstLine="720"/>
        <w:rPr>
          <w:sz w:val="24"/>
        </w:rPr>
      </w:pPr>
      <w:r w:rsidRPr="005403B0">
        <w:rPr>
          <w:rStyle w:val="footnotemark"/>
          <w:sz w:val="24"/>
        </w:rPr>
        <w:footnoteRef/>
      </w:r>
      <w:r>
        <w:rPr>
          <w:sz w:val="24"/>
        </w:rPr>
        <w:t xml:space="preserve"> </w:t>
      </w:r>
      <w:r w:rsidRPr="005403B0">
        <w:rPr>
          <w:sz w:val="24"/>
        </w:rPr>
        <w:t xml:space="preserve">Ross S. Kraemer, ed., </w:t>
      </w:r>
      <w:r w:rsidRPr="005403B0">
        <w:rPr>
          <w:i/>
          <w:sz w:val="24"/>
        </w:rPr>
        <w:t>Maenads, Martyrs, Matrons, Monastics: A Sourcebook on Women’s Religions in the Greco-Roman World</w:t>
      </w:r>
      <w:r w:rsidRPr="005403B0">
        <w:rPr>
          <w:sz w:val="24"/>
        </w:rPr>
        <w:t xml:space="preserve"> (Philadelphia: Fortress Press, 1988), 97. </w:t>
      </w:r>
    </w:p>
  </w:footnote>
  <w:footnote w:id="54">
    <w:p w14:paraId="53DC6AC1" w14:textId="77777777" w:rsidR="00725849" w:rsidRDefault="00725849" w:rsidP="00725849">
      <w:pPr>
        <w:pStyle w:val="footnotedescription"/>
        <w:ind w:left="0" w:right="102" w:firstLine="720"/>
      </w:pPr>
      <w:r w:rsidRPr="005403B0">
        <w:rPr>
          <w:rStyle w:val="footnotemark"/>
          <w:sz w:val="24"/>
        </w:rPr>
        <w:footnoteRef/>
      </w:r>
      <w:r w:rsidRPr="005403B0">
        <w:rPr>
          <w:sz w:val="24"/>
        </w:rPr>
        <w:t xml:space="preserve"> Kathleen Jones, </w:t>
      </w:r>
      <w:r w:rsidRPr="005403B0">
        <w:rPr>
          <w:i/>
          <w:sz w:val="24"/>
        </w:rPr>
        <w:t xml:space="preserve">Women Saints Lives of Faith and Courage </w:t>
      </w:r>
      <w:r w:rsidRPr="005403B0">
        <w:rPr>
          <w:sz w:val="24"/>
        </w:rPr>
        <w:t>(Maryknoll: Orbis Books, 1999),</w:t>
      </w:r>
      <w:r w:rsidRPr="005403B0">
        <w:rPr>
          <w:i/>
          <w:sz w:val="24"/>
        </w:rPr>
        <w:t xml:space="preserve"> </w:t>
      </w:r>
      <w:r w:rsidRPr="005403B0">
        <w:rPr>
          <w:sz w:val="24"/>
        </w:rPr>
        <w:t>39.</w:t>
      </w:r>
      <w:r>
        <w:t xml:space="preserve"> </w:t>
      </w:r>
    </w:p>
  </w:footnote>
  <w:footnote w:id="55">
    <w:p w14:paraId="49F85E48" w14:textId="77777777" w:rsidR="00725849" w:rsidRPr="005403B0" w:rsidRDefault="00725849" w:rsidP="00725849">
      <w:pPr>
        <w:pStyle w:val="footnotedescription"/>
        <w:spacing w:line="244" w:lineRule="auto"/>
        <w:ind w:left="0" w:firstLine="721"/>
        <w:rPr>
          <w:sz w:val="24"/>
        </w:rPr>
      </w:pPr>
      <w:r w:rsidRPr="005403B0">
        <w:rPr>
          <w:rStyle w:val="footnotemark"/>
          <w:sz w:val="24"/>
        </w:rPr>
        <w:footnoteRef/>
      </w:r>
      <w:r w:rsidRPr="005403B0">
        <w:rPr>
          <w:sz w:val="24"/>
        </w:rPr>
        <w:t xml:space="preserve"> </w:t>
      </w:r>
      <w:r w:rsidRPr="005403B0">
        <w:rPr>
          <w:i/>
          <w:sz w:val="24"/>
        </w:rPr>
        <w:t>Oxford English Dictionary,</w:t>
      </w:r>
      <w:r w:rsidRPr="005403B0">
        <w:rPr>
          <w:sz w:val="24"/>
        </w:rPr>
        <w:t xml:space="preserve"> 3rd ed. (Oxford: Oxford University Press, 2000), s.v. “martyr.” https://www.oed.com/view/Entry/114474#eid37663824. </w:t>
      </w:r>
    </w:p>
  </w:footnote>
  <w:footnote w:id="56">
    <w:p w14:paraId="5845C6C6" w14:textId="77777777" w:rsidR="00725849" w:rsidRDefault="00725849" w:rsidP="00725849">
      <w:pPr>
        <w:pStyle w:val="footnotedescription"/>
      </w:pPr>
      <w:r w:rsidRPr="005403B0">
        <w:rPr>
          <w:rStyle w:val="footnotemark"/>
          <w:sz w:val="24"/>
        </w:rPr>
        <w:footnoteRef/>
      </w:r>
      <w:r w:rsidRPr="005403B0">
        <w:rPr>
          <w:sz w:val="24"/>
        </w:rPr>
        <w:t xml:space="preserve"> Candida Moss, 2.</w:t>
      </w:r>
      <w:r>
        <w:rPr>
          <w:rFonts w:ascii="Calibri" w:eastAsia="Calibri" w:hAnsi="Calibri" w:cs="Calibri"/>
        </w:rPr>
        <w:t xml:space="preserve"> </w:t>
      </w:r>
    </w:p>
  </w:footnote>
  <w:footnote w:id="57">
    <w:p w14:paraId="07E772E0" w14:textId="77777777" w:rsidR="00725849" w:rsidRPr="005403B0" w:rsidRDefault="00725849" w:rsidP="00725849">
      <w:pPr>
        <w:pStyle w:val="footnotedescription"/>
        <w:spacing w:after="79" w:line="246" w:lineRule="auto"/>
        <w:ind w:left="0" w:firstLine="721"/>
        <w:rPr>
          <w:sz w:val="24"/>
        </w:rPr>
      </w:pPr>
      <w:r w:rsidRPr="005403B0">
        <w:rPr>
          <w:rStyle w:val="footnotemark"/>
          <w:sz w:val="24"/>
        </w:rPr>
        <w:footnoteRef/>
      </w:r>
      <w:r w:rsidRPr="005403B0">
        <w:rPr>
          <w:sz w:val="24"/>
        </w:rPr>
        <w:t xml:space="preserve"> P. Andrew Montgomery, “Roman Attitudes Toward Religion,” Western Intellectual Traditions 102: Medieval (class lecture, Samford University, Birmingham, AL, January 24, 2022). </w:t>
      </w:r>
    </w:p>
  </w:footnote>
  <w:footnote w:id="58">
    <w:p w14:paraId="552E9FCA" w14:textId="77777777" w:rsidR="00725849" w:rsidRPr="005403B0" w:rsidRDefault="00725849" w:rsidP="00725849">
      <w:pPr>
        <w:pStyle w:val="footnotedescription"/>
        <w:spacing w:line="261" w:lineRule="auto"/>
        <w:ind w:left="0" w:firstLine="721"/>
        <w:jc w:val="both"/>
        <w:rPr>
          <w:sz w:val="24"/>
        </w:rPr>
      </w:pPr>
      <w:r w:rsidRPr="005403B0">
        <w:rPr>
          <w:rStyle w:val="footnotemark"/>
          <w:sz w:val="24"/>
        </w:rPr>
        <w:footnoteRef/>
      </w:r>
      <w:r w:rsidRPr="005403B0">
        <w:rPr>
          <w:sz w:val="24"/>
        </w:rPr>
        <w:t xml:space="preserve"> Bonnie Lander Johnson, </w:t>
      </w:r>
      <w:r w:rsidRPr="005403B0">
        <w:rPr>
          <w:i/>
          <w:sz w:val="24"/>
        </w:rPr>
        <w:t>Chastity in Early Stuart Literature and Culture</w:t>
      </w:r>
      <w:r w:rsidRPr="005403B0">
        <w:rPr>
          <w:sz w:val="24"/>
        </w:rPr>
        <w:t xml:space="preserve"> (Cambridge: Cambridge University Press, 2015), 2.  </w:t>
      </w:r>
    </w:p>
  </w:footnote>
  <w:footnote w:id="59">
    <w:p w14:paraId="78B4ECDC" w14:textId="77777777" w:rsidR="00725849" w:rsidRPr="005403B0" w:rsidRDefault="00725849" w:rsidP="00725849">
      <w:pPr>
        <w:pStyle w:val="footnotedescription"/>
        <w:spacing w:after="17" w:line="244" w:lineRule="auto"/>
        <w:ind w:left="0" w:right="374" w:firstLine="721"/>
        <w:jc w:val="both"/>
        <w:rPr>
          <w:sz w:val="24"/>
        </w:rPr>
      </w:pPr>
      <w:r w:rsidRPr="005403B0">
        <w:rPr>
          <w:rStyle w:val="footnotemark"/>
          <w:sz w:val="24"/>
        </w:rPr>
        <w:footnoteRef/>
      </w:r>
      <w:r w:rsidRPr="005403B0">
        <w:rPr>
          <w:sz w:val="24"/>
        </w:rPr>
        <w:t xml:space="preserve"> This essay will use chastity and virginity interchangeably since the women martyrs of the Canon exhibited both and they were both contributory to their purity in sexual activity and which ultimately led to their deaths. </w:t>
      </w:r>
    </w:p>
  </w:footnote>
  <w:footnote w:id="60">
    <w:p w14:paraId="4FEFA404" w14:textId="77777777" w:rsidR="00725849" w:rsidRPr="005403B0" w:rsidRDefault="00725849" w:rsidP="00725849">
      <w:pPr>
        <w:pStyle w:val="footnotedescription"/>
        <w:spacing w:line="263" w:lineRule="auto"/>
        <w:ind w:left="0" w:right="2005" w:firstLine="721"/>
        <w:rPr>
          <w:sz w:val="24"/>
        </w:rPr>
      </w:pPr>
      <w:r w:rsidRPr="005403B0">
        <w:rPr>
          <w:rStyle w:val="footnotemark"/>
          <w:sz w:val="24"/>
        </w:rPr>
        <w:footnoteRef/>
      </w:r>
      <w:r w:rsidRPr="005403B0">
        <w:rPr>
          <w:sz w:val="24"/>
        </w:rPr>
        <w:t xml:space="preserve"> St. Ambrose, “On Virginity Book II,” New Advent, accessed December 5, 2022, https://www.newadvent.org/fathers/34072.htm </w:t>
      </w:r>
      <w:r w:rsidRPr="005403B0">
        <w:rPr>
          <w:sz w:val="24"/>
          <w:vertAlign w:val="superscript"/>
        </w:rPr>
        <w:t>13</w:t>
      </w:r>
      <w:r w:rsidRPr="005403B0">
        <w:rPr>
          <w:sz w:val="24"/>
        </w:rPr>
        <w:t xml:space="preserve"> St. Ambrose, “On Virginity Book I,” New Advent, accessed December 5, 2022, https://www.newadvent.org/fathers/34071.htm. </w:t>
      </w:r>
    </w:p>
  </w:footnote>
  <w:footnote w:id="61">
    <w:p w14:paraId="3773FD1A" w14:textId="77777777" w:rsidR="00725849" w:rsidRPr="005403B0" w:rsidRDefault="00725849" w:rsidP="00725849">
      <w:pPr>
        <w:pStyle w:val="footnotedescription"/>
        <w:spacing w:line="249" w:lineRule="auto"/>
        <w:ind w:left="0" w:firstLine="721"/>
        <w:rPr>
          <w:sz w:val="24"/>
        </w:rPr>
      </w:pPr>
      <w:r w:rsidRPr="005403B0">
        <w:rPr>
          <w:rStyle w:val="footnotemark"/>
          <w:sz w:val="24"/>
        </w:rPr>
        <w:footnoteRef/>
      </w:r>
      <w:r w:rsidRPr="005403B0">
        <w:rPr>
          <w:sz w:val="24"/>
        </w:rPr>
        <w:t xml:space="preserve"> Thomas J. Heffernan, </w:t>
      </w:r>
      <w:r w:rsidRPr="005403B0">
        <w:rPr>
          <w:i/>
          <w:sz w:val="24"/>
        </w:rPr>
        <w:t xml:space="preserve">Sacred Biography: saints and their biographers in the Middle Ages </w:t>
      </w:r>
      <w:r w:rsidRPr="005403B0">
        <w:rPr>
          <w:sz w:val="24"/>
        </w:rPr>
        <w:t>(New York: Oxford University Press, 1988)</w:t>
      </w:r>
      <w:r w:rsidRPr="005403B0">
        <w:rPr>
          <w:i/>
          <w:sz w:val="24"/>
        </w:rPr>
        <w:t xml:space="preserve"> </w:t>
      </w:r>
      <w:r w:rsidRPr="005403B0">
        <w:rPr>
          <w:sz w:val="24"/>
        </w:rPr>
        <w:t xml:space="preserve">223. </w:t>
      </w:r>
    </w:p>
  </w:footnote>
  <w:footnote w:id="62">
    <w:p w14:paraId="77C1AB81" w14:textId="77777777" w:rsidR="00725849" w:rsidRPr="005403B0" w:rsidRDefault="00725849" w:rsidP="00725849">
      <w:pPr>
        <w:pStyle w:val="footnotedescription"/>
        <w:spacing w:line="249" w:lineRule="auto"/>
        <w:ind w:left="0" w:firstLine="721"/>
        <w:rPr>
          <w:sz w:val="24"/>
        </w:rPr>
      </w:pPr>
      <w:r w:rsidRPr="005403B0">
        <w:rPr>
          <w:rStyle w:val="footnotemark"/>
          <w:sz w:val="24"/>
        </w:rPr>
        <w:footnoteRef/>
      </w:r>
      <w:r w:rsidRPr="005403B0">
        <w:rPr>
          <w:sz w:val="24"/>
        </w:rPr>
        <w:t xml:space="preserve"> Lynn H. Cohick, </w:t>
      </w:r>
      <w:r w:rsidRPr="005403B0">
        <w:rPr>
          <w:i/>
          <w:sz w:val="24"/>
        </w:rPr>
        <w:t>Women in the World of the Earliest Christians: Illuminating Ancient Ways of Life</w:t>
      </w:r>
      <w:r w:rsidRPr="005403B0">
        <w:rPr>
          <w:sz w:val="24"/>
        </w:rPr>
        <w:t xml:space="preserve"> (Grand Rapids: Baker Academic, 2009), 64. </w:t>
      </w:r>
    </w:p>
  </w:footnote>
  <w:footnote w:id="63">
    <w:p w14:paraId="5BDD64A1" w14:textId="77777777" w:rsidR="00725849" w:rsidRPr="005403B0" w:rsidRDefault="00725849" w:rsidP="00725849">
      <w:pPr>
        <w:pStyle w:val="footnotedescription"/>
        <w:spacing w:after="2"/>
        <w:rPr>
          <w:sz w:val="24"/>
        </w:rPr>
      </w:pPr>
      <w:r w:rsidRPr="005403B0">
        <w:rPr>
          <w:rStyle w:val="footnotemark"/>
          <w:sz w:val="24"/>
        </w:rPr>
        <w:footnoteRef/>
      </w:r>
      <w:r w:rsidRPr="005403B0">
        <w:rPr>
          <w:sz w:val="24"/>
        </w:rPr>
        <w:t xml:space="preserve"> Cohick, </w:t>
      </w:r>
      <w:r w:rsidRPr="005403B0">
        <w:rPr>
          <w:i/>
          <w:sz w:val="24"/>
        </w:rPr>
        <w:t>Women in the World of the Earliest Christians</w:t>
      </w:r>
      <w:r w:rsidRPr="005403B0">
        <w:rPr>
          <w:sz w:val="24"/>
        </w:rPr>
        <w:t>, 99.</w:t>
      </w:r>
      <w:r w:rsidRPr="005403B0">
        <w:rPr>
          <w:rFonts w:ascii="Calibri" w:eastAsia="Calibri" w:hAnsi="Calibri" w:cs="Calibri"/>
          <w:sz w:val="24"/>
        </w:rPr>
        <w:t xml:space="preserve"> </w:t>
      </w:r>
    </w:p>
  </w:footnote>
  <w:footnote w:id="64">
    <w:p w14:paraId="576A5C90" w14:textId="77777777" w:rsidR="00725849" w:rsidRDefault="00725849" w:rsidP="00725849">
      <w:pPr>
        <w:pStyle w:val="footnotedescription"/>
        <w:spacing w:after="11" w:line="254" w:lineRule="auto"/>
        <w:ind w:left="0" w:firstLine="721"/>
      </w:pPr>
      <w:r w:rsidRPr="005403B0">
        <w:rPr>
          <w:rStyle w:val="footnotemark"/>
          <w:sz w:val="24"/>
        </w:rPr>
        <w:footnoteRef/>
      </w:r>
      <w:r w:rsidRPr="005403B0">
        <w:rPr>
          <w:sz w:val="24"/>
        </w:rPr>
        <w:t xml:space="preserve"> “Saint Agnes, Virgin,” In Jacobus De Voragine, </w:t>
      </w:r>
      <w:r w:rsidRPr="005403B0">
        <w:rPr>
          <w:i/>
          <w:sz w:val="24"/>
        </w:rPr>
        <w:t xml:space="preserve">The Golden Legend </w:t>
      </w:r>
      <w:r w:rsidRPr="005403B0">
        <w:rPr>
          <w:sz w:val="24"/>
        </w:rPr>
        <w:t>trans. William Granger Ryan (Princeton: Princeton University Press, 1993),</w:t>
      </w:r>
      <w:r w:rsidRPr="005403B0">
        <w:rPr>
          <w:i/>
          <w:sz w:val="24"/>
        </w:rPr>
        <w:t xml:space="preserve"> </w:t>
      </w:r>
      <w:r w:rsidRPr="005403B0">
        <w:rPr>
          <w:sz w:val="24"/>
        </w:rPr>
        <w:t>102.</w:t>
      </w:r>
      <w:r>
        <w:t xml:space="preserve"> </w:t>
      </w:r>
    </w:p>
  </w:footnote>
  <w:footnote w:id="65">
    <w:p w14:paraId="266DE59E" w14:textId="77777777" w:rsidR="00725849" w:rsidRPr="00E350C2" w:rsidRDefault="00725849" w:rsidP="00725849">
      <w:pPr>
        <w:pStyle w:val="FootnoteText"/>
        <w:ind w:firstLine="720"/>
        <w:rPr>
          <w:sz w:val="24"/>
          <w:szCs w:val="24"/>
        </w:rPr>
      </w:pPr>
      <w:r w:rsidRPr="00E350C2">
        <w:rPr>
          <w:rStyle w:val="FootnoteReference"/>
          <w:sz w:val="24"/>
          <w:szCs w:val="24"/>
        </w:rPr>
        <w:footnoteRef/>
      </w:r>
      <w:r w:rsidRPr="00E350C2">
        <w:rPr>
          <w:sz w:val="24"/>
          <w:szCs w:val="24"/>
        </w:rPr>
        <w:t xml:space="preserve"> “Saint Agnes, Virgin,” 102.</w:t>
      </w:r>
    </w:p>
  </w:footnote>
  <w:footnote w:id="66">
    <w:p w14:paraId="610EA80D" w14:textId="77777777" w:rsidR="00725849" w:rsidRPr="00E350C2" w:rsidRDefault="00725849" w:rsidP="00725849">
      <w:pPr>
        <w:pStyle w:val="FootnoteText"/>
        <w:ind w:firstLine="720"/>
        <w:rPr>
          <w:sz w:val="24"/>
          <w:szCs w:val="24"/>
        </w:rPr>
      </w:pPr>
      <w:r w:rsidRPr="00E350C2">
        <w:rPr>
          <w:rStyle w:val="FootnoteReference"/>
          <w:sz w:val="24"/>
          <w:szCs w:val="24"/>
        </w:rPr>
        <w:footnoteRef/>
      </w:r>
      <w:r w:rsidRPr="00E350C2">
        <w:rPr>
          <w:sz w:val="24"/>
          <w:szCs w:val="24"/>
        </w:rPr>
        <w:t xml:space="preserve"> Ibid., 102. </w:t>
      </w:r>
    </w:p>
  </w:footnote>
  <w:footnote w:id="67">
    <w:p w14:paraId="0A51E9C5" w14:textId="77777777" w:rsidR="00725849" w:rsidRPr="00E350C2" w:rsidRDefault="00725849" w:rsidP="00725849">
      <w:pPr>
        <w:pStyle w:val="FootnoteText"/>
        <w:ind w:firstLine="720"/>
        <w:rPr>
          <w:sz w:val="24"/>
          <w:szCs w:val="24"/>
        </w:rPr>
      </w:pPr>
      <w:r w:rsidRPr="00E350C2">
        <w:rPr>
          <w:rStyle w:val="FootnoteReference"/>
          <w:sz w:val="24"/>
          <w:szCs w:val="24"/>
        </w:rPr>
        <w:footnoteRef/>
      </w:r>
      <w:r w:rsidRPr="00E350C2">
        <w:rPr>
          <w:sz w:val="24"/>
          <w:szCs w:val="24"/>
        </w:rPr>
        <w:t xml:space="preserve"> “Saint Agatha,” In Jacobus De Voragine, </w:t>
      </w:r>
      <w:r w:rsidRPr="00E350C2">
        <w:rPr>
          <w:i/>
          <w:iCs/>
          <w:sz w:val="24"/>
          <w:szCs w:val="24"/>
        </w:rPr>
        <w:t>The Golden Legend</w:t>
      </w:r>
      <w:r w:rsidRPr="00E350C2">
        <w:rPr>
          <w:sz w:val="24"/>
          <w:szCs w:val="24"/>
        </w:rPr>
        <w:t>, trans. William Granger Ryan (Princeton: Princeton University Press, 1993), 154.</w:t>
      </w:r>
    </w:p>
  </w:footnote>
  <w:footnote w:id="68">
    <w:p w14:paraId="0381E564" w14:textId="77777777" w:rsidR="00725849" w:rsidRPr="00E350C2" w:rsidRDefault="00725849" w:rsidP="00725849">
      <w:pPr>
        <w:pStyle w:val="footnotedescription"/>
        <w:spacing w:line="254" w:lineRule="auto"/>
        <w:ind w:left="0" w:firstLine="720"/>
        <w:rPr>
          <w:sz w:val="24"/>
        </w:rPr>
      </w:pPr>
      <w:r w:rsidRPr="00E350C2">
        <w:rPr>
          <w:rStyle w:val="FootnoteReference"/>
          <w:sz w:val="24"/>
        </w:rPr>
        <w:footnoteRef/>
      </w:r>
      <w:r w:rsidRPr="00E350C2">
        <w:rPr>
          <w:sz w:val="24"/>
        </w:rPr>
        <w:t xml:space="preserve"> “Saint Agatha,” 154.</w:t>
      </w:r>
    </w:p>
  </w:footnote>
  <w:footnote w:id="69">
    <w:p w14:paraId="2949D0FF" w14:textId="77777777" w:rsidR="00725849" w:rsidRPr="00E350C2" w:rsidRDefault="00725849" w:rsidP="00725849">
      <w:pPr>
        <w:pStyle w:val="footnotedescription"/>
        <w:spacing w:line="251" w:lineRule="auto"/>
        <w:ind w:left="0" w:right="6795"/>
        <w:rPr>
          <w:sz w:val="24"/>
        </w:rPr>
      </w:pPr>
    </w:p>
  </w:footnote>
  <w:footnote w:id="70">
    <w:p w14:paraId="0FE38BCC" w14:textId="77777777" w:rsidR="00725849" w:rsidRPr="00E350C2" w:rsidRDefault="00725849" w:rsidP="00725849">
      <w:pPr>
        <w:pStyle w:val="footnotedescription"/>
        <w:spacing w:line="242" w:lineRule="auto"/>
        <w:ind w:left="0" w:firstLine="721"/>
        <w:rPr>
          <w:sz w:val="24"/>
        </w:rPr>
      </w:pPr>
      <w:r w:rsidRPr="00E350C2">
        <w:rPr>
          <w:rStyle w:val="footnotemark"/>
          <w:sz w:val="24"/>
        </w:rPr>
        <w:footnoteRef/>
      </w:r>
      <w:r w:rsidRPr="00E350C2">
        <w:rPr>
          <w:sz w:val="24"/>
        </w:rPr>
        <w:t xml:space="preserve"> “Saint Anastasia,” In Jacobus De Voragine, </w:t>
      </w:r>
      <w:r w:rsidRPr="00E350C2">
        <w:rPr>
          <w:i/>
          <w:sz w:val="24"/>
        </w:rPr>
        <w:t>The Golden Legend</w:t>
      </w:r>
      <w:r w:rsidRPr="00E350C2">
        <w:rPr>
          <w:sz w:val="24"/>
        </w:rPr>
        <w:t>, trans. William Granger Ryan (Princeton: Princeton University Press, 1993),</w:t>
      </w:r>
      <w:r w:rsidRPr="00E350C2">
        <w:rPr>
          <w:i/>
          <w:sz w:val="24"/>
        </w:rPr>
        <w:t xml:space="preserve"> </w:t>
      </w:r>
      <w:r w:rsidRPr="00E350C2">
        <w:rPr>
          <w:sz w:val="24"/>
        </w:rPr>
        <w:t>43.</w:t>
      </w:r>
      <w:r w:rsidRPr="00E350C2">
        <w:rPr>
          <w:rFonts w:ascii="Calibri" w:eastAsia="Calibri" w:hAnsi="Calibri" w:cs="Calibri"/>
          <w:sz w:val="24"/>
        </w:rPr>
        <w:t xml:space="preserve"> </w:t>
      </w:r>
    </w:p>
  </w:footnote>
  <w:footnote w:id="71">
    <w:p w14:paraId="2776DDB0" w14:textId="77777777" w:rsidR="00725849" w:rsidRPr="00E350C2" w:rsidRDefault="00725849" w:rsidP="00725849">
      <w:pPr>
        <w:pStyle w:val="footnotedescription"/>
        <w:rPr>
          <w:sz w:val="24"/>
        </w:rPr>
      </w:pPr>
      <w:r w:rsidRPr="00E350C2">
        <w:rPr>
          <w:rStyle w:val="footnotemark"/>
          <w:sz w:val="24"/>
        </w:rPr>
        <w:footnoteRef/>
      </w:r>
      <w:r w:rsidRPr="00E350C2">
        <w:rPr>
          <w:sz w:val="24"/>
        </w:rPr>
        <w:t xml:space="preserve"> “Saint Anastasia,” 44. </w:t>
      </w:r>
    </w:p>
  </w:footnote>
  <w:footnote w:id="72">
    <w:p w14:paraId="162374D8" w14:textId="77777777" w:rsidR="00725849" w:rsidRPr="00E350C2" w:rsidRDefault="00725849" w:rsidP="00725849">
      <w:pPr>
        <w:pStyle w:val="footnotedescription"/>
        <w:spacing w:after="29" w:line="247" w:lineRule="auto"/>
        <w:ind w:right="1613"/>
        <w:rPr>
          <w:sz w:val="24"/>
        </w:rPr>
      </w:pPr>
      <w:r w:rsidRPr="00E350C2">
        <w:rPr>
          <w:rStyle w:val="footnotemark"/>
          <w:sz w:val="24"/>
        </w:rPr>
        <w:footnoteRef/>
      </w:r>
      <w:r w:rsidRPr="00E350C2">
        <w:rPr>
          <w:sz w:val="24"/>
        </w:rPr>
        <w:t xml:space="preserve"> Joyce E. Salisbury, </w:t>
      </w:r>
      <w:r w:rsidRPr="00E350C2">
        <w:rPr>
          <w:i/>
          <w:sz w:val="24"/>
        </w:rPr>
        <w:t xml:space="preserve">Church Fathers, Independent Virgins </w:t>
      </w:r>
      <w:r w:rsidRPr="00E350C2">
        <w:rPr>
          <w:sz w:val="24"/>
        </w:rPr>
        <w:t xml:space="preserve">(London: Verso, 1991) 1. </w:t>
      </w:r>
    </w:p>
  </w:footnote>
  <w:footnote w:id="73">
    <w:p w14:paraId="69463604" w14:textId="77777777" w:rsidR="00725849" w:rsidRPr="00F27955" w:rsidRDefault="00725849" w:rsidP="00725849">
      <w:pPr>
        <w:pStyle w:val="FootnoteText"/>
        <w:ind w:firstLine="720"/>
        <w:rPr>
          <w:sz w:val="24"/>
          <w:szCs w:val="24"/>
        </w:rPr>
      </w:pPr>
      <w:r w:rsidRPr="00F27955">
        <w:rPr>
          <w:rStyle w:val="FootnoteReference"/>
          <w:sz w:val="24"/>
          <w:szCs w:val="24"/>
        </w:rPr>
        <w:footnoteRef/>
      </w:r>
      <w:r w:rsidRPr="00F27955">
        <w:rPr>
          <w:sz w:val="24"/>
          <w:szCs w:val="24"/>
        </w:rPr>
        <w:t xml:space="preserve"> Salisbury, </w:t>
      </w:r>
      <w:r w:rsidRPr="00F27955">
        <w:rPr>
          <w:i/>
          <w:sz w:val="24"/>
          <w:szCs w:val="24"/>
        </w:rPr>
        <w:t xml:space="preserve">Church Fathers Independent Virgins, </w:t>
      </w:r>
      <w:r w:rsidRPr="00F27955">
        <w:rPr>
          <w:sz w:val="24"/>
          <w:szCs w:val="24"/>
        </w:rPr>
        <w:t>3.</w:t>
      </w:r>
    </w:p>
  </w:footnote>
  <w:footnote w:id="74">
    <w:p w14:paraId="45933675" w14:textId="77777777" w:rsidR="00725849" w:rsidRPr="00F27955" w:rsidRDefault="00725849" w:rsidP="00725849">
      <w:pPr>
        <w:pStyle w:val="footnotedescription"/>
        <w:spacing w:line="270" w:lineRule="auto"/>
        <w:ind w:left="0" w:firstLine="721"/>
        <w:rPr>
          <w:sz w:val="24"/>
        </w:rPr>
      </w:pPr>
      <w:r w:rsidRPr="00F27955">
        <w:rPr>
          <w:rStyle w:val="footnotemark"/>
          <w:sz w:val="24"/>
        </w:rPr>
        <w:footnoteRef/>
      </w:r>
      <w:r w:rsidRPr="00F27955">
        <w:rPr>
          <w:sz w:val="24"/>
        </w:rPr>
        <w:t xml:space="preserve"> Saint Cecilia behaved in a similar way to Anastasia. De Voragine called her “a heavenly lily by the modesty of her virginity” and introduced Cecilia as “that illustrious virgin” who “besought the Lord to preserve her virginity.” Well might Cecilia be praised so, for her chastity brought about the conversion of her husband and his brother. On her wedding day, she sang to the Lord, “[l]et my heart and my body be undefiled, O Lord, that I may not be confounded.” When her husband, Valerian, came to her after the wedding, she revealed that her body was protected by an angel who would “strike [him] and [he] will lose the flower of [his] gracious youth.” “Saint Cecilia,” In Jacobus De Voragine, </w:t>
      </w:r>
      <w:r w:rsidRPr="00F27955">
        <w:rPr>
          <w:i/>
          <w:sz w:val="24"/>
        </w:rPr>
        <w:t xml:space="preserve">The Golden Legend </w:t>
      </w:r>
      <w:r w:rsidRPr="00F27955">
        <w:rPr>
          <w:sz w:val="24"/>
        </w:rPr>
        <w:t>trans. William Granger Ryan (Princeton: Princeton University Press, 1993),</w:t>
      </w:r>
      <w:r w:rsidRPr="00F27955">
        <w:rPr>
          <w:i/>
          <w:sz w:val="24"/>
        </w:rPr>
        <w:t xml:space="preserve"> </w:t>
      </w:r>
      <w:r w:rsidRPr="00F27955">
        <w:rPr>
          <w:sz w:val="24"/>
        </w:rPr>
        <w:t>704.</w:t>
      </w:r>
      <w:r w:rsidRPr="00F27955">
        <w:rPr>
          <w:rFonts w:ascii="Calibri" w:eastAsia="Calibri" w:hAnsi="Calibri" w:cs="Calibri"/>
          <w:sz w:val="24"/>
        </w:rPr>
        <w:t xml:space="preserve"> </w:t>
      </w:r>
    </w:p>
  </w:footnote>
  <w:footnote w:id="75">
    <w:p w14:paraId="3B9CFBC6" w14:textId="77777777" w:rsidR="00725849" w:rsidRPr="00F27955" w:rsidRDefault="00725849" w:rsidP="00725849">
      <w:pPr>
        <w:pStyle w:val="footnotedescription"/>
        <w:rPr>
          <w:sz w:val="24"/>
        </w:rPr>
      </w:pPr>
      <w:r w:rsidRPr="00F27955">
        <w:rPr>
          <w:rStyle w:val="footnotemark"/>
          <w:sz w:val="24"/>
        </w:rPr>
        <w:footnoteRef/>
      </w:r>
      <w:r w:rsidRPr="00F27955">
        <w:rPr>
          <w:sz w:val="24"/>
        </w:rPr>
        <w:t xml:space="preserve"> Thomas Heffernan, </w:t>
      </w:r>
      <w:r w:rsidRPr="00F27955">
        <w:rPr>
          <w:i/>
          <w:sz w:val="24"/>
        </w:rPr>
        <w:t xml:space="preserve">The Passion of Perpetua and Felicity </w:t>
      </w:r>
      <w:r w:rsidRPr="00F27955">
        <w:rPr>
          <w:sz w:val="24"/>
        </w:rPr>
        <w:t xml:space="preserve">(New York: Oxford University Press, 2012), </w:t>
      </w:r>
      <w:r>
        <w:rPr>
          <w:sz w:val="24"/>
        </w:rPr>
        <w:t>23</w:t>
      </w:r>
      <w:r w:rsidRPr="00F27955">
        <w:rPr>
          <w:sz w:val="24"/>
        </w:rPr>
        <w:t xml:space="preserve">. </w:t>
      </w:r>
    </w:p>
  </w:footnote>
  <w:footnote w:id="76">
    <w:p w14:paraId="1073A988" w14:textId="77777777" w:rsidR="00725849" w:rsidRPr="00F27955" w:rsidRDefault="00725849" w:rsidP="00725849">
      <w:pPr>
        <w:pStyle w:val="footnotedescription"/>
        <w:rPr>
          <w:sz w:val="24"/>
        </w:rPr>
      </w:pPr>
      <w:r w:rsidRPr="00F27955">
        <w:rPr>
          <w:rStyle w:val="footnotemark"/>
          <w:sz w:val="24"/>
        </w:rPr>
        <w:footnoteRef/>
      </w:r>
      <w:r w:rsidRPr="00F27955">
        <w:rPr>
          <w:sz w:val="24"/>
        </w:rPr>
        <w:t xml:space="preserve"> Heffernan, </w:t>
      </w:r>
      <w:r w:rsidRPr="00F27955">
        <w:rPr>
          <w:i/>
          <w:sz w:val="24"/>
        </w:rPr>
        <w:t xml:space="preserve">The Passion of Perpetua and Felicity, </w:t>
      </w:r>
      <w:r w:rsidRPr="00F27955">
        <w:rPr>
          <w:sz w:val="24"/>
        </w:rPr>
        <w:t xml:space="preserve">26. </w:t>
      </w:r>
    </w:p>
  </w:footnote>
  <w:footnote w:id="77">
    <w:p w14:paraId="403B8EA3" w14:textId="77777777" w:rsidR="00725849" w:rsidRDefault="00725849" w:rsidP="00725849">
      <w:pPr>
        <w:pStyle w:val="footnotedescription"/>
        <w:spacing w:after="3"/>
      </w:pPr>
      <w:r w:rsidRPr="00F27955">
        <w:rPr>
          <w:rStyle w:val="footnotemark"/>
          <w:sz w:val="24"/>
        </w:rPr>
        <w:footnoteRef/>
      </w:r>
      <w:r w:rsidRPr="00F27955">
        <w:rPr>
          <w:sz w:val="24"/>
        </w:rPr>
        <w:t xml:space="preserve"> Ibid., 18.</w:t>
      </w:r>
      <w:r>
        <w:t xml:space="preserve"> </w:t>
      </w:r>
    </w:p>
  </w:footnote>
  <w:footnote w:id="78">
    <w:p w14:paraId="47DBE0F3" w14:textId="77777777" w:rsidR="00725849" w:rsidRPr="00F401FF" w:rsidRDefault="00725849" w:rsidP="00725849">
      <w:pPr>
        <w:pStyle w:val="footnotedescription"/>
        <w:rPr>
          <w:sz w:val="24"/>
        </w:rPr>
      </w:pPr>
      <w:r w:rsidRPr="00F401FF">
        <w:rPr>
          <w:rStyle w:val="footnotemark"/>
          <w:sz w:val="24"/>
        </w:rPr>
        <w:footnoteRef/>
      </w:r>
      <w:r w:rsidRPr="00F401FF">
        <w:rPr>
          <w:sz w:val="24"/>
        </w:rPr>
        <w:t xml:space="preserve"> Ibid., 25.</w:t>
      </w:r>
      <w:r w:rsidRPr="00F401FF">
        <w:rPr>
          <w:rFonts w:ascii="Calibri" w:eastAsia="Calibri" w:hAnsi="Calibri" w:cs="Calibri"/>
          <w:sz w:val="24"/>
        </w:rPr>
        <w:t xml:space="preserve"> </w:t>
      </w:r>
    </w:p>
  </w:footnote>
  <w:footnote w:id="79">
    <w:p w14:paraId="5951AD08" w14:textId="77777777" w:rsidR="00725849" w:rsidRPr="00F401FF" w:rsidRDefault="00725849" w:rsidP="00725849">
      <w:pPr>
        <w:pStyle w:val="footnotedescription"/>
        <w:rPr>
          <w:sz w:val="24"/>
        </w:rPr>
      </w:pPr>
      <w:r w:rsidRPr="00F401FF">
        <w:rPr>
          <w:rStyle w:val="footnotemark"/>
          <w:sz w:val="24"/>
        </w:rPr>
        <w:footnoteRef/>
      </w:r>
      <w:r w:rsidRPr="00F401FF">
        <w:rPr>
          <w:sz w:val="24"/>
        </w:rPr>
        <w:t xml:space="preserve"> Ibid., 27. </w:t>
      </w:r>
    </w:p>
  </w:footnote>
  <w:footnote w:id="80">
    <w:p w14:paraId="2D67F52F" w14:textId="77777777" w:rsidR="00725849" w:rsidRPr="00F401FF" w:rsidRDefault="00725849" w:rsidP="00725849">
      <w:pPr>
        <w:pStyle w:val="footnotedescription"/>
        <w:spacing w:line="264" w:lineRule="auto"/>
        <w:ind w:left="0" w:firstLine="721"/>
        <w:jc w:val="both"/>
        <w:rPr>
          <w:sz w:val="24"/>
        </w:rPr>
      </w:pPr>
      <w:r w:rsidRPr="00F401FF">
        <w:rPr>
          <w:rStyle w:val="footnotemark"/>
          <w:sz w:val="24"/>
        </w:rPr>
        <w:footnoteRef/>
      </w:r>
      <w:r w:rsidRPr="00F401FF">
        <w:rPr>
          <w:sz w:val="24"/>
        </w:rPr>
        <w:t xml:space="preserve"> Felicity and Perpetua are always depicted together in hagiography and iconography since they were martyred together. </w:t>
      </w:r>
    </w:p>
  </w:footnote>
  <w:footnote w:id="81">
    <w:p w14:paraId="0835C76C" w14:textId="77777777" w:rsidR="00725849" w:rsidRPr="00F401FF" w:rsidRDefault="00725849" w:rsidP="00725849">
      <w:pPr>
        <w:pStyle w:val="footnotedescription"/>
        <w:rPr>
          <w:sz w:val="24"/>
        </w:rPr>
      </w:pPr>
      <w:r w:rsidRPr="00F401FF">
        <w:rPr>
          <w:rStyle w:val="footnotemark"/>
          <w:sz w:val="24"/>
        </w:rPr>
        <w:footnoteRef/>
      </w:r>
      <w:r w:rsidRPr="00F401FF">
        <w:rPr>
          <w:sz w:val="24"/>
        </w:rPr>
        <w:t xml:space="preserve"> Thomas J. Heffernan, </w:t>
      </w:r>
      <w:r w:rsidRPr="00F401FF">
        <w:rPr>
          <w:i/>
          <w:sz w:val="24"/>
        </w:rPr>
        <w:t>Sacred Biography</w:t>
      </w:r>
      <w:r w:rsidRPr="00F401FF">
        <w:rPr>
          <w:sz w:val="24"/>
        </w:rPr>
        <w:t xml:space="preserve">, 233-234. </w:t>
      </w:r>
    </w:p>
  </w:footnote>
  <w:footnote w:id="82">
    <w:p w14:paraId="12302852" w14:textId="77777777" w:rsidR="00725849" w:rsidRPr="00F401FF" w:rsidRDefault="00725849" w:rsidP="00725849">
      <w:pPr>
        <w:pStyle w:val="footnotedescription"/>
        <w:rPr>
          <w:sz w:val="24"/>
        </w:rPr>
      </w:pPr>
      <w:r w:rsidRPr="00F401FF">
        <w:rPr>
          <w:rStyle w:val="footnotemark"/>
          <w:sz w:val="24"/>
        </w:rPr>
        <w:footnoteRef/>
      </w:r>
      <w:r w:rsidRPr="00F401FF">
        <w:rPr>
          <w:sz w:val="24"/>
        </w:rPr>
        <w:t xml:space="preserve"> Ross S. Kraemer, ed., </w:t>
      </w:r>
      <w:r w:rsidRPr="00F401FF">
        <w:rPr>
          <w:i/>
          <w:sz w:val="24"/>
        </w:rPr>
        <w:t>Maenads Martyrs Matrons Monastics,</w:t>
      </w:r>
      <w:r w:rsidRPr="00F401FF">
        <w:rPr>
          <w:sz w:val="24"/>
        </w:rPr>
        <w:t xml:space="preserve"> 105. </w:t>
      </w:r>
    </w:p>
  </w:footnote>
  <w:footnote w:id="83">
    <w:p w14:paraId="5C877A19" w14:textId="77777777" w:rsidR="00725849" w:rsidRPr="00536A27" w:rsidRDefault="00725849" w:rsidP="00725849">
      <w:pPr>
        <w:pStyle w:val="footnotedescription"/>
        <w:rPr>
          <w:sz w:val="24"/>
        </w:rPr>
      </w:pPr>
      <w:r w:rsidRPr="00536A27">
        <w:rPr>
          <w:rStyle w:val="footnotemark"/>
          <w:sz w:val="24"/>
        </w:rPr>
        <w:footnoteRef/>
      </w:r>
      <w:r w:rsidRPr="00536A27">
        <w:rPr>
          <w:sz w:val="24"/>
        </w:rPr>
        <w:t xml:space="preserve"> Joyce E. Salisbury, 26. </w:t>
      </w:r>
    </w:p>
  </w:footnote>
  <w:footnote w:id="84">
    <w:p w14:paraId="546406A5" w14:textId="77777777" w:rsidR="00725849" w:rsidRPr="00536A27" w:rsidRDefault="00725849" w:rsidP="00725849">
      <w:pPr>
        <w:pStyle w:val="footnotedescription"/>
        <w:rPr>
          <w:sz w:val="24"/>
        </w:rPr>
      </w:pPr>
      <w:r w:rsidRPr="00536A27">
        <w:rPr>
          <w:rStyle w:val="footnotemark"/>
          <w:sz w:val="24"/>
        </w:rPr>
        <w:footnoteRef/>
      </w:r>
      <w:r w:rsidRPr="00536A27">
        <w:rPr>
          <w:sz w:val="24"/>
        </w:rPr>
        <w:t xml:space="preserve"> Heffernan, </w:t>
      </w:r>
      <w:r w:rsidRPr="00536A27">
        <w:rPr>
          <w:i/>
          <w:sz w:val="24"/>
        </w:rPr>
        <w:t xml:space="preserve">The Passion of Perpetua and Felicity, </w:t>
      </w:r>
      <w:r w:rsidRPr="00536A27">
        <w:rPr>
          <w:sz w:val="24"/>
        </w:rPr>
        <w:t xml:space="preserve">130. </w:t>
      </w:r>
    </w:p>
  </w:footnote>
  <w:footnote w:id="85">
    <w:p w14:paraId="1C5FC18F" w14:textId="77777777" w:rsidR="00725849" w:rsidRPr="00A06B77" w:rsidRDefault="00725849" w:rsidP="00725849">
      <w:pPr>
        <w:pStyle w:val="footnotedescription"/>
        <w:spacing w:after="25"/>
        <w:rPr>
          <w:sz w:val="24"/>
        </w:rPr>
      </w:pPr>
      <w:r w:rsidRPr="00A06B77">
        <w:rPr>
          <w:rStyle w:val="footnotemark"/>
          <w:sz w:val="24"/>
        </w:rPr>
        <w:footnoteRef/>
      </w:r>
      <w:r w:rsidRPr="00A06B77">
        <w:rPr>
          <w:sz w:val="24"/>
        </w:rPr>
        <w:t xml:space="preserve"> Ibid., 252. </w:t>
      </w:r>
    </w:p>
  </w:footnote>
  <w:footnote w:id="86">
    <w:p w14:paraId="209147B8" w14:textId="77777777" w:rsidR="00725849" w:rsidRPr="00A06B77" w:rsidRDefault="00725849" w:rsidP="00725849">
      <w:pPr>
        <w:pStyle w:val="footnotedescription"/>
        <w:spacing w:after="18" w:line="274" w:lineRule="auto"/>
        <w:ind w:left="0" w:firstLine="721"/>
        <w:rPr>
          <w:sz w:val="24"/>
        </w:rPr>
      </w:pPr>
      <w:r w:rsidRPr="00A06B77">
        <w:rPr>
          <w:rStyle w:val="footnotemark"/>
          <w:sz w:val="24"/>
        </w:rPr>
        <w:footnoteRef/>
      </w:r>
      <w:r w:rsidRPr="00A06B77">
        <w:rPr>
          <w:sz w:val="24"/>
        </w:rPr>
        <w:t xml:space="preserve"> Johannes N. Vorster, “The Blood of the Female Martyrs as the Sperm of the Early Church.” </w:t>
      </w:r>
      <w:r w:rsidRPr="00A06B77">
        <w:rPr>
          <w:i/>
          <w:sz w:val="24"/>
        </w:rPr>
        <w:t xml:space="preserve">Religion &amp; Theology </w:t>
      </w:r>
      <w:r w:rsidRPr="00A06B77">
        <w:rPr>
          <w:sz w:val="24"/>
        </w:rPr>
        <w:t xml:space="preserve">10, no. 1 (2003), 69. </w:t>
      </w:r>
    </w:p>
  </w:footnote>
  <w:footnote w:id="87">
    <w:p w14:paraId="00791D3D" w14:textId="77777777" w:rsidR="00725849" w:rsidRPr="00A06B77" w:rsidRDefault="00725849" w:rsidP="00725849">
      <w:pPr>
        <w:pStyle w:val="footnotedescription"/>
        <w:spacing w:after="13" w:line="244" w:lineRule="auto"/>
        <w:ind w:right="1658"/>
        <w:rPr>
          <w:sz w:val="24"/>
        </w:rPr>
      </w:pPr>
      <w:r w:rsidRPr="00A06B77">
        <w:rPr>
          <w:rStyle w:val="footnotemark"/>
          <w:sz w:val="24"/>
        </w:rPr>
        <w:footnoteRef/>
      </w:r>
      <w:r w:rsidRPr="00A06B77">
        <w:rPr>
          <w:sz w:val="24"/>
        </w:rPr>
        <w:t xml:space="preserve"> Vorster, “The Blood of the Female Martyrs as the Sperm of the Early Church</w:t>
      </w:r>
      <w:r>
        <w:rPr>
          <w:sz w:val="24"/>
        </w:rPr>
        <w:t>,</w:t>
      </w:r>
      <w:r w:rsidRPr="00A06B77">
        <w:rPr>
          <w:sz w:val="24"/>
        </w:rPr>
        <w:t>” 69.</w:t>
      </w:r>
    </w:p>
  </w:footnote>
  <w:footnote w:id="88">
    <w:p w14:paraId="416353E6" w14:textId="77777777" w:rsidR="00725849" w:rsidRPr="00A06B77" w:rsidRDefault="00725849" w:rsidP="00725849">
      <w:pPr>
        <w:pStyle w:val="FootnoteText"/>
        <w:ind w:firstLine="720"/>
        <w:rPr>
          <w:sz w:val="24"/>
          <w:szCs w:val="24"/>
        </w:rPr>
      </w:pPr>
      <w:r w:rsidRPr="00A06B77">
        <w:rPr>
          <w:rStyle w:val="FootnoteReference"/>
          <w:sz w:val="24"/>
          <w:szCs w:val="24"/>
        </w:rPr>
        <w:footnoteRef/>
      </w:r>
      <w:r w:rsidRPr="00A06B77">
        <w:rPr>
          <w:sz w:val="24"/>
          <w:szCs w:val="24"/>
        </w:rPr>
        <w:t xml:space="preserve"> Ibid., 87. </w:t>
      </w:r>
    </w:p>
  </w:footnote>
  <w:footnote w:id="89">
    <w:p w14:paraId="1A9674E0" w14:textId="77777777" w:rsidR="00725849" w:rsidRPr="00F401FF" w:rsidRDefault="00725849" w:rsidP="00725849">
      <w:pPr>
        <w:pStyle w:val="footnotedescription"/>
        <w:rPr>
          <w:sz w:val="24"/>
        </w:rPr>
      </w:pPr>
      <w:r w:rsidRPr="00A06B77">
        <w:rPr>
          <w:rStyle w:val="footnotemark"/>
          <w:sz w:val="24"/>
        </w:rPr>
        <w:footnoteRef/>
      </w:r>
      <w:r w:rsidRPr="00A06B77">
        <w:rPr>
          <w:sz w:val="24"/>
        </w:rPr>
        <w:t xml:space="preserve"> Ibid</w:t>
      </w:r>
      <w:r>
        <w:rPr>
          <w:sz w:val="24"/>
        </w:rPr>
        <w:t>.</w:t>
      </w:r>
      <w:r w:rsidRPr="00A06B77">
        <w:rPr>
          <w:sz w:val="24"/>
        </w:rPr>
        <w:t>, 92.</w:t>
      </w:r>
      <w:r w:rsidRPr="00F401FF">
        <w:rPr>
          <w:sz w:val="24"/>
        </w:rPr>
        <w:t xml:space="preserve"> </w:t>
      </w:r>
    </w:p>
  </w:footnote>
  <w:footnote w:id="90">
    <w:p w14:paraId="190E7DE9"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“Saint Agnes,” 102-103. </w:t>
      </w:r>
    </w:p>
  </w:footnote>
  <w:footnote w:id="91">
    <w:p w14:paraId="5C010086" w14:textId="77777777" w:rsidR="00725849" w:rsidRPr="00FA6A57" w:rsidRDefault="00725849" w:rsidP="00725849">
      <w:pPr>
        <w:pStyle w:val="footnotedescription"/>
        <w:spacing w:after="17" w:line="250" w:lineRule="auto"/>
        <w:ind w:left="0" w:firstLine="721"/>
        <w:rPr>
          <w:sz w:val="24"/>
        </w:rPr>
      </w:pPr>
      <w:r w:rsidRPr="00FA6A57">
        <w:rPr>
          <w:rStyle w:val="footnotemark"/>
          <w:sz w:val="24"/>
        </w:rPr>
        <w:footnoteRef/>
      </w:r>
      <w:r w:rsidRPr="00FA6A57">
        <w:rPr>
          <w:sz w:val="24"/>
        </w:rPr>
        <w:t xml:space="preserve"> “Saint Lucy, Virgin,” In Jacobus De Voragine, </w:t>
      </w:r>
      <w:r w:rsidRPr="00FA6A57">
        <w:rPr>
          <w:i/>
          <w:sz w:val="24"/>
        </w:rPr>
        <w:t>The Golden Legend</w:t>
      </w:r>
      <w:r w:rsidRPr="00FA6A57">
        <w:rPr>
          <w:sz w:val="24"/>
        </w:rPr>
        <w:t xml:space="preserve"> trans. William Granger Ryan (Princeton: Princeton University Press, 1993),</w:t>
      </w:r>
      <w:r w:rsidRPr="00FA6A57">
        <w:rPr>
          <w:i/>
          <w:sz w:val="24"/>
        </w:rPr>
        <w:t xml:space="preserve"> </w:t>
      </w:r>
      <w:r w:rsidRPr="00FA6A57">
        <w:rPr>
          <w:sz w:val="24"/>
        </w:rPr>
        <w:t xml:space="preserve">27. </w:t>
      </w:r>
    </w:p>
  </w:footnote>
  <w:footnote w:id="92">
    <w:p w14:paraId="2D7E0D51"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“Saint Lucy, Virgin,” 27. </w:t>
      </w:r>
    </w:p>
  </w:footnote>
  <w:footnote w:id="93">
    <w:p w14:paraId="57D1A0D6"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Ibid., 28. </w:t>
      </w:r>
    </w:p>
  </w:footnote>
  <w:footnote w:id="94">
    <w:p w14:paraId="2014055D" w14:textId="77777777" w:rsidR="00725849" w:rsidRPr="00FA6A57" w:rsidRDefault="00725849" w:rsidP="00725849">
      <w:pPr>
        <w:pStyle w:val="footnotedescription"/>
        <w:spacing w:line="249" w:lineRule="auto"/>
        <w:ind w:left="0" w:firstLine="721"/>
        <w:rPr>
          <w:sz w:val="24"/>
        </w:rPr>
      </w:pPr>
      <w:r w:rsidRPr="00FA6A57">
        <w:rPr>
          <w:rStyle w:val="footnotemark"/>
          <w:sz w:val="24"/>
        </w:rPr>
        <w:footnoteRef/>
      </w:r>
      <w:r w:rsidRPr="00FA6A57">
        <w:rPr>
          <w:sz w:val="24"/>
        </w:rPr>
        <w:t xml:space="preserve"> Candida Moss, </w:t>
      </w:r>
      <w:r w:rsidRPr="00FA6A57">
        <w:rPr>
          <w:i/>
          <w:sz w:val="24"/>
        </w:rPr>
        <w:t>The Other Christs: Imitating Jesus in Ancient Christian Ideologies of Martyrdom</w:t>
      </w:r>
      <w:r w:rsidRPr="00FA6A57">
        <w:rPr>
          <w:sz w:val="24"/>
        </w:rPr>
        <w:t xml:space="preserve"> (New York: Oxford University Press, 2010), 6. </w:t>
      </w:r>
    </w:p>
  </w:footnote>
  <w:footnote w:id="95">
    <w:p w14:paraId="3B1E8F89"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Jones, 46.</w:t>
      </w:r>
      <w:r w:rsidRPr="00FA6A57">
        <w:rPr>
          <w:i/>
          <w:sz w:val="24"/>
        </w:rPr>
        <w:t xml:space="preserve"> </w:t>
      </w:r>
    </w:p>
  </w:footnote>
  <w:footnote w:id="96">
    <w:p w14:paraId="1E7550F0"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Candida Moss, Ancient Christian Martyrdom, 29. </w:t>
      </w:r>
    </w:p>
  </w:footnote>
  <w:footnote w:id="97">
    <w:p w14:paraId="15AEDCAF"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“Saint Lucy, Virgin,” 29. </w:t>
      </w:r>
    </w:p>
  </w:footnote>
  <w:footnote w:id="98">
    <w:p w14:paraId="7054E2B7" w14:textId="77777777" w:rsidR="00725849" w:rsidRPr="00FA6A57" w:rsidRDefault="00725849" w:rsidP="00725849">
      <w:pPr>
        <w:pStyle w:val="footnotedescription"/>
        <w:rPr>
          <w:sz w:val="24"/>
        </w:rPr>
      </w:pPr>
      <w:r w:rsidRPr="00FA6A57">
        <w:rPr>
          <w:rStyle w:val="footnotemark"/>
          <w:sz w:val="24"/>
        </w:rPr>
        <w:footnoteRef/>
      </w:r>
      <w:r w:rsidRPr="00FA6A57">
        <w:rPr>
          <w:sz w:val="24"/>
        </w:rPr>
        <w:t xml:space="preserve"> “Saint Agnes,” 103. </w:t>
      </w:r>
    </w:p>
  </w:footnote>
  <w:footnote w:id="99">
    <w:p w14:paraId="038A68B7" w14:textId="77777777" w:rsidR="00725849" w:rsidRPr="00FA6A57" w:rsidRDefault="00725849" w:rsidP="00725849">
      <w:pPr>
        <w:pStyle w:val="footnotedescription"/>
        <w:spacing w:after="8"/>
        <w:rPr>
          <w:sz w:val="24"/>
        </w:rPr>
      </w:pPr>
      <w:r w:rsidRPr="00FA6A57">
        <w:rPr>
          <w:rStyle w:val="footnotemark"/>
          <w:sz w:val="24"/>
        </w:rPr>
        <w:footnoteRef/>
      </w:r>
      <w:r w:rsidRPr="00FA6A57">
        <w:rPr>
          <w:sz w:val="24"/>
        </w:rPr>
        <w:t xml:space="preserve"> “Saint Cecilia,” 705. </w:t>
      </w:r>
    </w:p>
  </w:footnote>
  <w:footnote w:id="100">
    <w:p w14:paraId="6FDFED0C" w14:textId="77777777" w:rsidR="00725849" w:rsidRDefault="00725849" w:rsidP="00725849">
      <w:pPr>
        <w:pStyle w:val="footnotedescription"/>
        <w:spacing w:line="260" w:lineRule="auto"/>
        <w:ind w:left="0" w:right="188" w:firstLine="721"/>
      </w:pPr>
      <w:r w:rsidRPr="00FA6A57">
        <w:rPr>
          <w:rStyle w:val="footnotemark"/>
          <w:sz w:val="24"/>
        </w:rPr>
        <w:footnoteRef/>
      </w:r>
      <w:r w:rsidRPr="00FA6A57">
        <w:rPr>
          <w:sz w:val="24"/>
        </w:rPr>
        <w:t xml:space="preserve"> Legend, particularly in De Voragine, recount Anastasia’s death a being burned at the stake. However, other interpretations argue she was beheaded on the island Palmaria while she was visiting Christians (rather than being banished there). See Diane E. Booton, “Variation on a Limbourg Theme: Saint Anastasia at the Nativity in a Getty Book of Hours and in French Medieval Literature,” </w:t>
      </w:r>
      <w:r w:rsidRPr="00FA6A57">
        <w:rPr>
          <w:i/>
          <w:sz w:val="24"/>
        </w:rPr>
        <w:t xml:space="preserve">Fifteenth-Century Studies </w:t>
      </w:r>
      <w:r w:rsidRPr="00FA6A57">
        <w:rPr>
          <w:sz w:val="24"/>
        </w:rPr>
        <w:t>29 (2004): 54.</w:t>
      </w:r>
    </w:p>
  </w:footnote>
  <w:footnote w:id="101">
    <w:p w14:paraId="7C95EAE1" w14:textId="77777777" w:rsidR="00725849" w:rsidRDefault="00725849" w:rsidP="00725849">
      <w:pPr>
        <w:pStyle w:val="footnotedescription"/>
        <w:spacing w:line="260" w:lineRule="auto"/>
        <w:ind w:left="0" w:right="188" w:firstLine="721"/>
      </w:pPr>
      <w:r>
        <w:rPr>
          <w:rStyle w:val="FootnoteReference"/>
        </w:rPr>
        <w:footnoteRef/>
      </w:r>
      <w:r>
        <w:t xml:space="preserve"> </w:t>
      </w:r>
      <w:r w:rsidRPr="00FA6A57">
        <w:rPr>
          <w:sz w:val="24"/>
        </w:rPr>
        <w:t>“Saint Anastasia,” 45.</w:t>
      </w:r>
      <w:r>
        <w:t xml:space="preserve"> </w:t>
      </w:r>
    </w:p>
    <w:p w14:paraId="1E60ADCE" w14:textId="77777777" w:rsidR="00725849" w:rsidRPr="00B54966" w:rsidRDefault="00725849" w:rsidP="00725849">
      <w:pPr>
        <w:pStyle w:val="FootnoteText"/>
      </w:pPr>
    </w:p>
  </w:footnote>
  <w:footnote w:id="102">
    <w:p w14:paraId="7DF8793F" w14:textId="77777777" w:rsidR="00725849" w:rsidRPr="00B54966" w:rsidRDefault="00725849" w:rsidP="00725849">
      <w:pPr>
        <w:pStyle w:val="footnotedescription"/>
        <w:rPr>
          <w:sz w:val="24"/>
        </w:rPr>
      </w:pPr>
      <w:r w:rsidRPr="00B54966">
        <w:rPr>
          <w:rStyle w:val="footnotemark"/>
          <w:sz w:val="24"/>
        </w:rPr>
        <w:footnoteRef/>
      </w:r>
      <w:r w:rsidRPr="00B54966">
        <w:rPr>
          <w:sz w:val="24"/>
        </w:rPr>
        <w:t xml:space="preserve"> Heffernan, </w:t>
      </w:r>
      <w:r w:rsidRPr="00B54966">
        <w:rPr>
          <w:i/>
          <w:sz w:val="24"/>
        </w:rPr>
        <w:t xml:space="preserve">The Passion of Perpetua and Felicity, </w:t>
      </w:r>
      <w:r w:rsidRPr="00B54966">
        <w:rPr>
          <w:sz w:val="24"/>
        </w:rPr>
        <w:t xml:space="preserve">134. </w:t>
      </w:r>
    </w:p>
  </w:footnote>
  <w:footnote w:id="103">
    <w:p w14:paraId="405055AE" w14:textId="77777777" w:rsidR="00725849" w:rsidRPr="00B54966" w:rsidRDefault="00725849" w:rsidP="00725849">
      <w:pPr>
        <w:pStyle w:val="footnotedescription"/>
        <w:rPr>
          <w:sz w:val="24"/>
        </w:rPr>
      </w:pPr>
      <w:r w:rsidRPr="00B54966">
        <w:rPr>
          <w:rStyle w:val="footnotemark"/>
          <w:sz w:val="24"/>
        </w:rPr>
        <w:footnoteRef/>
      </w:r>
      <w:r w:rsidRPr="00B54966">
        <w:rPr>
          <w:sz w:val="24"/>
        </w:rPr>
        <w:t xml:space="preserve"> Ibid., 134. </w:t>
      </w:r>
    </w:p>
  </w:footnote>
  <w:footnote w:id="104">
    <w:p w14:paraId="64F3CE59" w14:textId="77777777" w:rsidR="00725849" w:rsidRPr="00B54966" w:rsidRDefault="00725849" w:rsidP="00725849">
      <w:pPr>
        <w:pStyle w:val="footnotedescription"/>
        <w:spacing w:after="4"/>
        <w:rPr>
          <w:sz w:val="24"/>
        </w:rPr>
      </w:pPr>
      <w:r w:rsidRPr="00B54966">
        <w:rPr>
          <w:rStyle w:val="footnotemark"/>
          <w:sz w:val="24"/>
        </w:rPr>
        <w:footnoteRef/>
      </w:r>
      <w:r w:rsidRPr="00B54966">
        <w:rPr>
          <w:sz w:val="24"/>
        </w:rPr>
        <w:t xml:space="preserve"> Ibid., 135. </w:t>
      </w:r>
    </w:p>
  </w:footnote>
  <w:footnote w:id="105">
    <w:p w14:paraId="784019E0" w14:textId="77777777" w:rsidR="00725849" w:rsidRDefault="00725849" w:rsidP="00725849">
      <w:pPr>
        <w:pStyle w:val="footnotedescription"/>
      </w:pPr>
      <w:r w:rsidRPr="00B54966">
        <w:rPr>
          <w:rStyle w:val="footnotemark"/>
          <w:sz w:val="24"/>
        </w:rPr>
        <w:footnoteRef/>
      </w:r>
      <w:r w:rsidRPr="00B54966">
        <w:rPr>
          <w:sz w:val="24"/>
        </w:rPr>
        <w:t xml:space="preserve"> “Saint Agatha,” 156.</w:t>
      </w:r>
      <w:r>
        <w:t xml:space="preserve"> </w:t>
      </w:r>
    </w:p>
  </w:footnote>
  <w:footnote w:id="106">
    <w:p w14:paraId="4E2D95A5" w14:textId="77777777" w:rsidR="00725849" w:rsidRPr="00F401FF" w:rsidRDefault="00725849" w:rsidP="00725849">
      <w:pPr>
        <w:pStyle w:val="footnotedescription"/>
        <w:rPr>
          <w:sz w:val="24"/>
        </w:rPr>
      </w:pPr>
      <w:r w:rsidRPr="00F401FF">
        <w:rPr>
          <w:rStyle w:val="footnotemark"/>
          <w:sz w:val="24"/>
        </w:rPr>
        <w:footnoteRef/>
      </w:r>
      <w:r w:rsidRPr="00F401FF">
        <w:rPr>
          <w:sz w:val="24"/>
        </w:rPr>
        <w:t xml:space="preserve"> Thomas J. Heffernan, </w:t>
      </w:r>
      <w:r w:rsidRPr="00F401FF">
        <w:rPr>
          <w:i/>
          <w:sz w:val="24"/>
        </w:rPr>
        <w:t>Sacred Biography</w:t>
      </w:r>
      <w:r w:rsidRPr="00F401FF">
        <w:rPr>
          <w:sz w:val="24"/>
        </w:rPr>
        <w:t>,</w:t>
      </w:r>
      <w:r w:rsidRPr="00F401FF">
        <w:rPr>
          <w:i/>
          <w:sz w:val="24"/>
        </w:rPr>
        <w:t xml:space="preserve"> </w:t>
      </w:r>
      <w:r w:rsidRPr="00F401FF">
        <w:rPr>
          <w:sz w:val="24"/>
        </w:rPr>
        <w:t xml:space="preserve">234. </w:t>
      </w:r>
    </w:p>
  </w:footnote>
  <w:footnote w:id="107">
    <w:p w14:paraId="45D2AABD" w14:textId="77777777" w:rsidR="00725849" w:rsidRPr="00F401FF" w:rsidRDefault="00725849" w:rsidP="00725849">
      <w:pPr>
        <w:pStyle w:val="footnotedescription"/>
        <w:spacing w:after="6"/>
        <w:rPr>
          <w:sz w:val="24"/>
        </w:rPr>
      </w:pPr>
      <w:r w:rsidRPr="00F401FF">
        <w:rPr>
          <w:rStyle w:val="footnotemark"/>
          <w:sz w:val="24"/>
        </w:rPr>
        <w:footnoteRef/>
      </w:r>
      <w:r w:rsidRPr="00F401FF">
        <w:rPr>
          <w:sz w:val="24"/>
        </w:rPr>
        <w:t xml:space="preserve"> Ibid., 277. </w:t>
      </w:r>
    </w:p>
  </w:footnote>
  <w:footnote w:id="108">
    <w:p w14:paraId="3DECFFA9" w14:textId="5CCFDF7C" w:rsidR="00725849" w:rsidRPr="00F401FF" w:rsidRDefault="00725849" w:rsidP="00725849">
      <w:pPr>
        <w:pStyle w:val="footnotedescription"/>
        <w:spacing w:line="234" w:lineRule="auto"/>
        <w:ind w:left="0" w:firstLine="721"/>
        <w:rPr>
          <w:sz w:val="24"/>
        </w:rPr>
      </w:pPr>
      <w:r w:rsidRPr="00F401FF">
        <w:rPr>
          <w:rStyle w:val="footnotemark"/>
          <w:sz w:val="24"/>
        </w:rPr>
        <w:footnoteRef/>
      </w:r>
      <w:r w:rsidRPr="00F401FF">
        <w:rPr>
          <w:sz w:val="24"/>
        </w:rPr>
        <w:t xml:space="preserve"> John E. Rotelle, ed., ed. </w:t>
      </w:r>
      <w:r w:rsidRPr="00F401FF">
        <w:rPr>
          <w:i/>
          <w:sz w:val="24"/>
        </w:rPr>
        <w:t xml:space="preserve">Sermons </w:t>
      </w:r>
      <w:r w:rsidRPr="00F401FF">
        <w:rPr>
          <w:sz w:val="24"/>
        </w:rPr>
        <w:t>III.8.280</w:t>
      </w:r>
      <w:r w:rsidRPr="00F401FF">
        <w:rPr>
          <w:i/>
          <w:sz w:val="24"/>
        </w:rPr>
        <w:t xml:space="preserve"> </w:t>
      </w:r>
      <w:r w:rsidRPr="00F401FF">
        <w:rPr>
          <w:sz w:val="24"/>
        </w:rPr>
        <w:t>trans. Edmund Hill (Hyde Park: New City Press, year unknown), 75.</w:t>
      </w:r>
      <w:r w:rsidRPr="00F401FF">
        <w:rPr>
          <w:rFonts w:ascii="Calibri" w:eastAsia="Calibri" w:hAnsi="Calibri" w:cs="Calibri"/>
          <w:sz w:val="24"/>
        </w:rPr>
        <w:t xml:space="preserve"> </w:t>
      </w:r>
    </w:p>
  </w:footnote>
  <w:footnote w:id="109">
    <w:p w14:paraId="11F551A5" w14:textId="639CD490" w:rsidR="003741E8" w:rsidRPr="00D13DE0" w:rsidRDefault="003741E8" w:rsidP="00192F81">
      <w:pPr>
        <w:pStyle w:val="FootnoteText"/>
        <w:ind w:firstLine="720"/>
        <w:rPr>
          <w:rFonts w:ascii="Times New Roman" w:hAnsi="Times New Roman" w:cs="Times New Roman"/>
          <w:sz w:val="24"/>
          <w:szCs w:val="24"/>
        </w:rPr>
      </w:pPr>
      <w:r w:rsidRPr="00B23E25">
        <w:rPr>
          <w:rStyle w:val="FootnoteReference"/>
          <w:rFonts w:ascii="Times New Roman" w:hAnsi="Times New Roman" w:cs="Times New Roman"/>
        </w:rPr>
        <w:t>1</w:t>
      </w:r>
      <w:r w:rsidRPr="00D13DE0">
        <w:rPr>
          <w:rFonts w:ascii="Times New Roman" w:hAnsi="Times New Roman" w:cs="Times New Roman"/>
          <w:sz w:val="24"/>
          <w:szCs w:val="24"/>
        </w:rPr>
        <w:t xml:space="preserve"> Philip Rieff, </w:t>
      </w:r>
      <w:r w:rsidRPr="00533A45">
        <w:rPr>
          <w:rFonts w:ascii="Times New Roman" w:hAnsi="Times New Roman" w:cs="Times New Roman"/>
          <w:i/>
          <w:iCs/>
          <w:sz w:val="24"/>
          <w:szCs w:val="24"/>
        </w:rPr>
        <w:t>The Triumph of the Therapeutic: Uses of Faith after Freud</w:t>
      </w:r>
      <w:r w:rsidRPr="00D13DE0">
        <w:rPr>
          <w:rFonts w:ascii="Times New Roman" w:hAnsi="Times New Roman" w:cs="Times New Roman"/>
          <w:sz w:val="24"/>
          <w:szCs w:val="24"/>
        </w:rPr>
        <w:t xml:space="preserve"> (ISI Books, 2007), 2.</w:t>
      </w:r>
    </w:p>
    <w:p w14:paraId="0B49D52D" w14:textId="77777777" w:rsidR="003741E8" w:rsidRPr="00D13DE0" w:rsidRDefault="003741E8" w:rsidP="00192F81">
      <w:pPr>
        <w:pStyle w:val="FootnoteText"/>
        <w:rPr>
          <w:rFonts w:ascii="Times New Roman" w:hAnsi="Times New Roman" w:cs="Times New Roman"/>
          <w:sz w:val="24"/>
          <w:szCs w:val="24"/>
        </w:rPr>
      </w:pPr>
    </w:p>
  </w:footnote>
  <w:footnote w:id="110">
    <w:p w14:paraId="40F167FA" w14:textId="4818E5DC" w:rsidR="003741E8" w:rsidRPr="00D13DE0" w:rsidRDefault="003741E8" w:rsidP="00192F81">
      <w:pPr>
        <w:pStyle w:val="FootnoteText"/>
        <w:ind w:firstLine="720"/>
        <w:rPr>
          <w:rFonts w:ascii="Times New Roman" w:hAnsi="Times New Roman" w:cs="Times New Roman"/>
          <w:sz w:val="24"/>
          <w:szCs w:val="24"/>
        </w:rPr>
      </w:pPr>
      <w:r w:rsidRPr="00B23E25">
        <w:rPr>
          <w:rStyle w:val="FootnoteReference"/>
          <w:rFonts w:ascii="Times New Roman" w:hAnsi="Times New Roman" w:cs="Times New Roman"/>
        </w:rPr>
        <w:t>2</w:t>
      </w:r>
      <w:r w:rsidRPr="00D13DE0">
        <w:rPr>
          <w:rFonts w:ascii="Times New Roman" w:hAnsi="Times New Roman" w:cs="Times New Roman"/>
          <w:sz w:val="24"/>
          <w:szCs w:val="24"/>
        </w:rPr>
        <w:t xml:space="preserve"> Carl Trueman, </w:t>
      </w:r>
      <w:r w:rsidRPr="00533A45">
        <w:rPr>
          <w:rFonts w:ascii="Times New Roman" w:hAnsi="Times New Roman" w:cs="Times New Roman"/>
          <w:i/>
          <w:iCs/>
          <w:sz w:val="24"/>
          <w:szCs w:val="24"/>
        </w:rPr>
        <w:t>The Rise and Triumph of the Modern Self: Cultural Amnesia, Expressive Individualism, and the Road to Sexual Revolution</w:t>
      </w:r>
      <w:r w:rsidRPr="00D13DE0">
        <w:rPr>
          <w:rFonts w:ascii="Times New Roman" w:hAnsi="Times New Roman" w:cs="Times New Roman"/>
          <w:sz w:val="24"/>
          <w:szCs w:val="24"/>
        </w:rPr>
        <w:t xml:space="preserve"> (Crossway, 2020), 43.</w:t>
      </w:r>
    </w:p>
    <w:p w14:paraId="082EA7A8" w14:textId="77777777" w:rsidR="003741E8" w:rsidRPr="00D13DE0" w:rsidRDefault="003741E8" w:rsidP="00192F81">
      <w:pPr>
        <w:pStyle w:val="FootnoteText"/>
        <w:rPr>
          <w:rFonts w:ascii="Times New Roman" w:hAnsi="Times New Roman" w:cs="Times New Roman"/>
          <w:sz w:val="24"/>
          <w:szCs w:val="24"/>
        </w:rPr>
      </w:pPr>
    </w:p>
  </w:footnote>
  <w:footnote w:id="111">
    <w:p w14:paraId="63E1BF37" w14:textId="4769C3EC" w:rsidR="00B23E25" w:rsidRPr="00D13DE0" w:rsidRDefault="00B23E25" w:rsidP="00192F81">
      <w:pPr>
        <w:pStyle w:val="FootnoteText"/>
        <w:ind w:firstLine="720"/>
        <w:rPr>
          <w:rFonts w:ascii="Times New Roman" w:hAnsi="Times New Roman" w:cs="Times New Roman"/>
          <w:sz w:val="24"/>
          <w:szCs w:val="24"/>
        </w:rPr>
      </w:pPr>
      <w:r>
        <w:rPr>
          <w:rStyle w:val="FootnoteReference"/>
          <w:rFonts w:ascii="Times New Roman" w:hAnsi="Times New Roman" w:cs="Times New Roman"/>
          <w:sz w:val="24"/>
          <w:szCs w:val="24"/>
        </w:rPr>
        <w:t>3</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3.</w:t>
      </w:r>
    </w:p>
    <w:p w14:paraId="66719844" w14:textId="77777777" w:rsidR="00B23E25" w:rsidRPr="00D13DE0" w:rsidRDefault="00B23E25" w:rsidP="00192F81">
      <w:pPr>
        <w:pStyle w:val="FootnoteText"/>
        <w:rPr>
          <w:rFonts w:ascii="Times New Roman" w:hAnsi="Times New Roman" w:cs="Times New Roman"/>
          <w:sz w:val="24"/>
          <w:szCs w:val="24"/>
        </w:rPr>
      </w:pPr>
    </w:p>
  </w:footnote>
  <w:footnote w:id="112">
    <w:p w14:paraId="05A10646" w14:textId="6017FC1B" w:rsidR="00A666CD" w:rsidRPr="00D13DE0" w:rsidRDefault="00A666CD" w:rsidP="00192F81">
      <w:pPr>
        <w:pStyle w:val="FootnoteText"/>
        <w:ind w:firstLine="720"/>
        <w:rPr>
          <w:rFonts w:ascii="Times New Roman" w:hAnsi="Times New Roman" w:cs="Times New Roman"/>
          <w:sz w:val="24"/>
          <w:szCs w:val="24"/>
        </w:rPr>
      </w:pPr>
      <w:r>
        <w:rPr>
          <w:rStyle w:val="FootnoteReference"/>
        </w:rPr>
        <w:t>4</w:t>
      </w:r>
      <w:r w:rsidRPr="00D13DE0">
        <w:rPr>
          <w:rFonts w:ascii="Times New Roman" w:hAnsi="Times New Roman" w:cs="Times New Roman"/>
          <w:sz w:val="24"/>
          <w:szCs w:val="24"/>
        </w:rPr>
        <w:t xml:space="preserve"> Carl Trueman, 74.</w:t>
      </w:r>
    </w:p>
    <w:p w14:paraId="0D7A6581" w14:textId="77777777" w:rsidR="00A666CD" w:rsidRPr="00D13DE0" w:rsidRDefault="00A666CD" w:rsidP="00192F81">
      <w:pPr>
        <w:pStyle w:val="FootnoteText"/>
        <w:rPr>
          <w:rFonts w:ascii="Times New Roman" w:hAnsi="Times New Roman" w:cs="Times New Roman"/>
          <w:sz w:val="24"/>
          <w:szCs w:val="24"/>
        </w:rPr>
      </w:pPr>
    </w:p>
  </w:footnote>
  <w:footnote w:id="113">
    <w:p w14:paraId="17A767C1" w14:textId="105CFB72" w:rsidR="00A666CD" w:rsidRPr="00D13DE0" w:rsidRDefault="00A666CD" w:rsidP="00192F81">
      <w:pPr>
        <w:pStyle w:val="FootnoteText"/>
        <w:ind w:firstLine="720"/>
        <w:rPr>
          <w:rFonts w:ascii="Times New Roman" w:hAnsi="Times New Roman" w:cs="Times New Roman"/>
          <w:sz w:val="24"/>
          <w:szCs w:val="24"/>
        </w:rPr>
      </w:pPr>
      <w:r>
        <w:rPr>
          <w:rStyle w:val="FootnoteReference"/>
        </w:rPr>
        <w:t>5</w:t>
      </w:r>
      <w:r w:rsidRPr="00D13DE0">
        <w:rPr>
          <w:rFonts w:ascii="Times New Roman" w:hAnsi="Times New Roman" w:cs="Times New Roman"/>
          <w:sz w:val="24"/>
          <w:szCs w:val="24"/>
        </w:rPr>
        <w:t xml:space="preserve"> Alan Woolfolk, “The Therapeutic Ideology of Moral Freedom.” </w:t>
      </w:r>
      <w:r w:rsidRPr="00CE51FA">
        <w:rPr>
          <w:rFonts w:ascii="Times New Roman" w:hAnsi="Times New Roman" w:cs="Times New Roman"/>
          <w:i/>
          <w:iCs/>
          <w:sz w:val="24"/>
          <w:szCs w:val="24"/>
        </w:rPr>
        <w:t>Journal of Classical Sociology</w:t>
      </w:r>
      <w:r w:rsidRPr="00D13DE0">
        <w:rPr>
          <w:rFonts w:ascii="Times New Roman" w:hAnsi="Times New Roman" w:cs="Times New Roman"/>
          <w:sz w:val="24"/>
          <w:szCs w:val="24"/>
        </w:rPr>
        <w:t xml:space="preserve"> 3, no. 3 (December 1, 2003): 248.</w:t>
      </w:r>
    </w:p>
    <w:p w14:paraId="0C44280A" w14:textId="77777777" w:rsidR="00A666CD" w:rsidRPr="00D13DE0" w:rsidRDefault="00A666CD" w:rsidP="00192F81">
      <w:pPr>
        <w:pStyle w:val="FootnoteText"/>
        <w:rPr>
          <w:rFonts w:ascii="Times New Roman" w:hAnsi="Times New Roman" w:cs="Times New Roman"/>
          <w:sz w:val="24"/>
          <w:szCs w:val="24"/>
        </w:rPr>
      </w:pPr>
    </w:p>
  </w:footnote>
  <w:footnote w:id="114">
    <w:p w14:paraId="407426CD" w14:textId="7E78C7B0" w:rsidR="00A666CD" w:rsidRPr="00D13DE0" w:rsidRDefault="00A666CD" w:rsidP="00192F81">
      <w:pPr>
        <w:pStyle w:val="FootnoteText"/>
        <w:ind w:firstLine="720"/>
        <w:rPr>
          <w:rFonts w:ascii="Times New Roman" w:hAnsi="Times New Roman" w:cs="Times New Roman"/>
          <w:sz w:val="24"/>
          <w:szCs w:val="24"/>
        </w:rPr>
      </w:pPr>
      <w:r>
        <w:rPr>
          <w:rStyle w:val="FootnoteReference"/>
        </w:rPr>
        <w:t>6</w:t>
      </w:r>
      <w:r w:rsidRPr="00D13DE0">
        <w:rPr>
          <w:rFonts w:ascii="Times New Roman" w:hAnsi="Times New Roman" w:cs="Times New Roman"/>
          <w:sz w:val="24"/>
          <w:szCs w:val="24"/>
        </w:rPr>
        <w:t xml:space="preserve"> Philip Rieff, “VII A Last Word: The Impossible Culture: Wilde As A Modern Prophet,” </w:t>
      </w:r>
      <w:r w:rsidRPr="00CE51FA">
        <w:rPr>
          <w:rFonts w:ascii="Times New Roman" w:hAnsi="Times New Roman" w:cs="Times New Roman"/>
          <w:i/>
          <w:iCs/>
          <w:sz w:val="24"/>
          <w:szCs w:val="24"/>
        </w:rPr>
        <w:t>Salmagundi</w:t>
      </w:r>
      <w:r w:rsidRPr="00D13DE0">
        <w:rPr>
          <w:rFonts w:ascii="Times New Roman" w:hAnsi="Times New Roman" w:cs="Times New Roman"/>
          <w:sz w:val="24"/>
          <w:szCs w:val="24"/>
        </w:rPr>
        <w:t>, no. 58/59 (October 1, 1982): 419.</w:t>
      </w:r>
    </w:p>
    <w:p w14:paraId="43015167" w14:textId="77777777" w:rsidR="00A666CD" w:rsidRPr="00D13DE0" w:rsidRDefault="00A666CD" w:rsidP="00192F81">
      <w:pPr>
        <w:pStyle w:val="FootnoteText"/>
        <w:rPr>
          <w:rFonts w:ascii="Times New Roman" w:hAnsi="Times New Roman" w:cs="Times New Roman"/>
          <w:sz w:val="24"/>
          <w:szCs w:val="24"/>
        </w:rPr>
      </w:pPr>
    </w:p>
  </w:footnote>
  <w:footnote w:id="115">
    <w:p w14:paraId="72F12D30" w14:textId="05940E66" w:rsidR="00691CE0" w:rsidRPr="00D13DE0" w:rsidRDefault="00691CE0" w:rsidP="00192F81">
      <w:pPr>
        <w:pStyle w:val="FootnoteText"/>
        <w:ind w:firstLine="720"/>
        <w:rPr>
          <w:rFonts w:ascii="Times New Roman" w:hAnsi="Times New Roman" w:cs="Times New Roman"/>
          <w:sz w:val="24"/>
          <w:szCs w:val="24"/>
        </w:rPr>
      </w:pPr>
      <w:r>
        <w:rPr>
          <w:rStyle w:val="FootnoteReference"/>
        </w:rPr>
        <w:t>7</w:t>
      </w:r>
      <w:r w:rsidRPr="00D13DE0">
        <w:rPr>
          <w:rFonts w:ascii="Times New Roman" w:hAnsi="Times New Roman" w:cs="Times New Roman"/>
          <w:sz w:val="24"/>
          <w:szCs w:val="24"/>
        </w:rPr>
        <w:t xml:space="preserve"> Philip Rieff, “Wilde As A Modern Prophet,” 413.</w:t>
      </w:r>
    </w:p>
    <w:p w14:paraId="295F7E6E" w14:textId="77777777" w:rsidR="00691CE0" w:rsidRPr="00D13DE0" w:rsidRDefault="00691CE0" w:rsidP="00192F81">
      <w:pPr>
        <w:pStyle w:val="FootnoteText"/>
        <w:rPr>
          <w:rFonts w:ascii="Times New Roman" w:hAnsi="Times New Roman" w:cs="Times New Roman"/>
          <w:sz w:val="24"/>
          <w:szCs w:val="24"/>
        </w:rPr>
      </w:pPr>
    </w:p>
  </w:footnote>
  <w:footnote w:id="116">
    <w:p w14:paraId="4ABE4FC3" w14:textId="6627DA7F" w:rsidR="00691CE0" w:rsidRPr="00D13DE0" w:rsidRDefault="00691CE0" w:rsidP="00192F81">
      <w:pPr>
        <w:pStyle w:val="FootnoteText"/>
        <w:ind w:firstLine="720"/>
        <w:rPr>
          <w:rFonts w:ascii="Times New Roman" w:hAnsi="Times New Roman" w:cs="Times New Roman"/>
          <w:sz w:val="24"/>
          <w:szCs w:val="24"/>
        </w:rPr>
      </w:pPr>
      <w:r>
        <w:rPr>
          <w:rStyle w:val="FootnoteReference"/>
        </w:rPr>
        <w:t>8</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8.</w:t>
      </w:r>
    </w:p>
    <w:p w14:paraId="0206C42F" w14:textId="77777777" w:rsidR="00691CE0" w:rsidRPr="00D13DE0" w:rsidRDefault="00691CE0" w:rsidP="00192F81">
      <w:pPr>
        <w:pStyle w:val="FootnoteText"/>
        <w:rPr>
          <w:rFonts w:ascii="Times New Roman" w:hAnsi="Times New Roman" w:cs="Times New Roman"/>
          <w:sz w:val="24"/>
          <w:szCs w:val="24"/>
        </w:rPr>
      </w:pPr>
    </w:p>
  </w:footnote>
  <w:footnote w:id="117">
    <w:p w14:paraId="2E4C1D44" w14:textId="4909C843" w:rsidR="00691CE0" w:rsidRPr="00D13DE0" w:rsidRDefault="00691CE0" w:rsidP="00192F81">
      <w:pPr>
        <w:pStyle w:val="FootnoteText"/>
        <w:ind w:firstLine="720"/>
        <w:rPr>
          <w:rFonts w:ascii="Times New Roman" w:hAnsi="Times New Roman" w:cs="Times New Roman"/>
          <w:sz w:val="24"/>
          <w:szCs w:val="24"/>
        </w:rPr>
      </w:pPr>
      <w:r>
        <w:rPr>
          <w:rStyle w:val="FootnoteReference"/>
        </w:rPr>
        <w:t>9</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12.</w:t>
      </w:r>
    </w:p>
    <w:p w14:paraId="390B7652" w14:textId="77777777" w:rsidR="00691CE0" w:rsidRPr="00D13DE0" w:rsidRDefault="00691CE0" w:rsidP="00192F81">
      <w:pPr>
        <w:pStyle w:val="FootnoteText"/>
        <w:rPr>
          <w:rFonts w:ascii="Times New Roman" w:hAnsi="Times New Roman" w:cs="Times New Roman"/>
          <w:sz w:val="24"/>
          <w:szCs w:val="24"/>
        </w:rPr>
      </w:pPr>
    </w:p>
  </w:footnote>
  <w:footnote w:id="118">
    <w:p w14:paraId="2D41B8FB" w14:textId="597CE1A8" w:rsidR="00691CE0" w:rsidRPr="00D13DE0" w:rsidRDefault="00691CE0" w:rsidP="00192F81">
      <w:pPr>
        <w:pStyle w:val="FootnoteText"/>
        <w:ind w:firstLine="720"/>
        <w:rPr>
          <w:rFonts w:ascii="Times New Roman" w:hAnsi="Times New Roman" w:cs="Times New Roman"/>
          <w:sz w:val="24"/>
          <w:szCs w:val="24"/>
        </w:rPr>
      </w:pPr>
      <w:r>
        <w:rPr>
          <w:rStyle w:val="FootnoteReference"/>
        </w:rPr>
        <w:t>10</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11.</w:t>
      </w:r>
    </w:p>
    <w:p w14:paraId="4D623300" w14:textId="77777777" w:rsidR="00691CE0" w:rsidRPr="00D13DE0" w:rsidRDefault="00691CE0" w:rsidP="00192F81">
      <w:pPr>
        <w:pStyle w:val="FootnoteText"/>
        <w:rPr>
          <w:rFonts w:ascii="Times New Roman" w:hAnsi="Times New Roman" w:cs="Times New Roman"/>
          <w:sz w:val="24"/>
          <w:szCs w:val="24"/>
        </w:rPr>
      </w:pPr>
    </w:p>
  </w:footnote>
  <w:footnote w:id="119">
    <w:p w14:paraId="5AE7D719" w14:textId="194189D8" w:rsidR="00691CE0" w:rsidRPr="00D13DE0" w:rsidRDefault="00691CE0" w:rsidP="00192F81">
      <w:pPr>
        <w:pStyle w:val="FootnoteText"/>
        <w:ind w:firstLine="720"/>
        <w:rPr>
          <w:rFonts w:ascii="Times New Roman" w:hAnsi="Times New Roman" w:cs="Times New Roman"/>
          <w:sz w:val="24"/>
          <w:szCs w:val="24"/>
        </w:rPr>
      </w:pPr>
      <w:r>
        <w:rPr>
          <w:rStyle w:val="FootnoteReference"/>
        </w:rPr>
        <w:t>11</w:t>
      </w:r>
      <w:r w:rsidRPr="00D13DE0">
        <w:rPr>
          <w:rFonts w:ascii="Times New Roman" w:hAnsi="Times New Roman" w:cs="Times New Roman"/>
          <w:sz w:val="24"/>
          <w:szCs w:val="24"/>
        </w:rPr>
        <w:t xml:space="preserve"> Lauren Langman, “Philip Rieff’s Mission,” </w:t>
      </w:r>
      <w:r w:rsidRPr="00CE51FA">
        <w:rPr>
          <w:rFonts w:ascii="Times New Roman" w:hAnsi="Times New Roman" w:cs="Times New Roman"/>
          <w:i/>
          <w:iCs/>
          <w:sz w:val="24"/>
          <w:szCs w:val="24"/>
        </w:rPr>
        <w:t>Journal of Classical Sociology</w:t>
      </w:r>
      <w:r w:rsidRPr="00D13DE0">
        <w:rPr>
          <w:rFonts w:ascii="Times New Roman" w:hAnsi="Times New Roman" w:cs="Times New Roman"/>
          <w:sz w:val="24"/>
          <w:szCs w:val="24"/>
        </w:rPr>
        <w:t xml:space="preserve"> 3, no. 3 (November 1, 2003): 283.</w:t>
      </w:r>
    </w:p>
    <w:p w14:paraId="0B33C90E" w14:textId="77777777" w:rsidR="00691CE0" w:rsidRPr="00D13DE0" w:rsidRDefault="00691CE0" w:rsidP="00192F81">
      <w:pPr>
        <w:pStyle w:val="FootnoteText"/>
        <w:rPr>
          <w:rFonts w:ascii="Times New Roman" w:hAnsi="Times New Roman" w:cs="Times New Roman"/>
          <w:sz w:val="24"/>
          <w:szCs w:val="24"/>
        </w:rPr>
      </w:pPr>
    </w:p>
  </w:footnote>
  <w:footnote w:id="120">
    <w:p w14:paraId="3CCCD5F4" w14:textId="21786184" w:rsidR="00E75B0C" w:rsidRPr="00D13DE0" w:rsidRDefault="00E75B0C" w:rsidP="00192F81">
      <w:pPr>
        <w:pStyle w:val="FootnoteText"/>
        <w:ind w:firstLine="720"/>
        <w:rPr>
          <w:rFonts w:ascii="Times New Roman" w:hAnsi="Times New Roman" w:cs="Times New Roman"/>
          <w:sz w:val="24"/>
          <w:szCs w:val="24"/>
        </w:rPr>
      </w:pPr>
      <w:r>
        <w:rPr>
          <w:rStyle w:val="FootnoteReference"/>
        </w:rPr>
        <w:t>12</w:t>
      </w:r>
      <w:r w:rsidRPr="00D13DE0">
        <w:rPr>
          <w:rFonts w:ascii="Times New Roman" w:hAnsi="Times New Roman" w:cs="Times New Roman"/>
          <w:sz w:val="24"/>
          <w:szCs w:val="24"/>
        </w:rPr>
        <w:t xml:space="preserve"> Carl Trueman, 89; Alan Woolfolk, 248.</w:t>
      </w:r>
    </w:p>
    <w:p w14:paraId="1938B4EE" w14:textId="77777777" w:rsidR="00E75B0C" w:rsidRPr="00D13DE0" w:rsidRDefault="00E75B0C" w:rsidP="00192F81">
      <w:pPr>
        <w:pStyle w:val="FootnoteText"/>
        <w:rPr>
          <w:rFonts w:ascii="Times New Roman" w:hAnsi="Times New Roman" w:cs="Times New Roman"/>
          <w:sz w:val="24"/>
          <w:szCs w:val="24"/>
        </w:rPr>
      </w:pPr>
    </w:p>
  </w:footnote>
  <w:footnote w:id="121">
    <w:p w14:paraId="315302B7" w14:textId="74E1A95E" w:rsidR="00E75B0C" w:rsidRDefault="00E75B0C" w:rsidP="00192F81">
      <w:pPr>
        <w:pStyle w:val="FootnoteText"/>
        <w:ind w:firstLine="720"/>
        <w:rPr>
          <w:rFonts w:ascii="Times New Roman" w:hAnsi="Times New Roman" w:cs="Times New Roman"/>
          <w:sz w:val="24"/>
          <w:szCs w:val="24"/>
        </w:rPr>
      </w:pPr>
      <w:r>
        <w:rPr>
          <w:rStyle w:val="FootnoteReference"/>
        </w:rPr>
        <w:t>13</w:t>
      </w:r>
      <w:r w:rsidRPr="00D13DE0">
        <w:rPr>
          <w:rFonts w:ascii="Times New Roman" w:hAnsi="Times New Roman" w:cs="Times New Roman"/>
          <w:sz w:val="24"/>
          <w:szCs w:val="24"/>
        </w:rPr>
        <w:t xml:space="preserve"> Philip Rieff, “Wilde As A Modern Prophet,” 419</w:t>
      </w:r>
      <w:r>
        <w:rPr>
          <w:rFonts w:ascii="Times New Roman" w:hAnsi="Times New Roman" w:cs="Times New Roman"/>
          <w:sz w:val="24"/>
          <w:szCs w:val="24"/>
        </w:rPr>
        <w:t>, emphasis original</w:t>
      </w:r>
      <w:r w:rsidRPr="00D13DE0">
        <w:rPr>
          <w:rFonts w:ascii="Times New Roman" w:hAnsi="Times New Roman" w:cs="Times New Roman"/>
          <w:sz w:val="24"/>
          <w:szCs w:val="24"/>
        </w:rPr>
        <w:t>.</w:t>
      </w:r>
    </w:p>
    <w:p w14:paraId="589BFE5F" w14:textId="77777777" w:rsidR="00E75B0C" w:rsidRPr="00D13DE0" w:rsidRDefault="00E75B0C" w:rsidP="00192F81">
      <w:pPr>
        <w:pStyle w:val="FootnoteText"/>
        <w:rPr>
          <w:rFonts w:ascii="Times New Roman" w:hAnsi="Times New Roman" w:cs="Times New Roman"/>
          <w:sz w:val="24"/>
          <w:szCs w:val="24"/>
        </w:rPr>
      </w:pPr>
    </w:p>
  </w:footnote>
  <w:footnote w:id="122">
    <w:p w14:paraId="61EA8EC8" w14:textId="6F4970A7" w:rsidR="00044738" w:rsidRPr="00D13DE0" w:rsidRDefault="00044738" w:rsidP="00192F81">
      <w:pPr>
        <w:pStyle w:val="FootnoteText"/>
        <w:ind w:firstLine="720"/>
        <w:rPr>
          <w:rFonts w:ascii="Times New Roman" w:hAnsi="Times New Roman" w:cs="Times New Roman"/>
          <w:sz w:val="24"/>
          <w:szCs w:val="24"/>
        </w:rPr>
      </w:pPr>
      <w:r>
        <w:rPr>
          <w:rStyle w:val="FootnoteReference"/>
        </w:rPr>
        <w:t>14</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2; 5.</w:t>
      </w:r>
    </w:p>
    <w:p w14:paraId="7E746A84" w14:textId="77777777" w:rsidR="00044738" w:rsidRPr="00D13DE0" w:rsidRDefault="00044738" w:rsidP="00192F81">
      <w:pPr>
        <w:pStyle w:val="FootnoteText"/>
        <w:rPr>
          <w:rFonts w:ascii="Times New Roman" w:hAnsi="Times New Roman" w:cs="Times New Roman"/>
          <w:sz w:val="24"/>
          <w:szCs w:val="24"/>
        </w:rPr>
      </w:pPr>
    </w:p>
  </w:footnote>
  <w:footnote w:id="123">
    <w:p w14:paraId="74BF5F89" w14:textId="2CB63846" w:rsidR="00044738" w:rsidRPr="00D13DE0" w:rsidRDefault="00044738" w:rsidP="00192F81">
      <w:pPr>
        <w:pStyle w:val="FootnoteText"/>
        <w:ind w:firstLine="720"/>
        <w:rPr>
          <w:rFonts w:ascii="Times New Roman" w:hAnsi="Times New Roman" w:cs="Times New Roman"/>
          <w:sz w:val="24"/>
          <w:szCs w:val="24"/>
        </w:rPr>
      </w:pPr>
      <w:r>
        <w:rPr>
          <w:rStyle w:val="FootnoteReference"/>
        </w:rPr>
        <w:t>15</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10.</w:t>
      </w:r>
    </w:p>
    <w:p w14:paraId="6CC105A6" w14:textId="77777777" w:rsidR="00044738" w:rsidRPr="00D13DE0" w:rsidRDefault="00044738" w:rsidP="00192F81">
      <w:pPr>
        <w:pStyle w:val="FootnoteText"/>
        <w:rPr>
          <w:rFonts w:ascii="Times New Roman" w:hAnsi="Times New Roman" w:cs="Times New Roman"/>
          <w:sz w:val="24"/>
          <w:szCs w:val="24"/>
        </w:rPr>
      </w:pPr>
    </w:p>
  </w:footnote>
  <w:footnote w:id="124">
    <w:p w14:paraId="3507EBA6" w14:textId="774F3268" w:rsidR="00044738" w:rsidRPr="00D13DE0" w:rsidRDefault="00044738" w:rsidP="00192F81">
      <w:pPr>
        <w:pStyle w:val="FootnoteText"/>
        <w:ind w:firstLine="720"/>
        <w:rPr>
          <w:rFonts w:ascii="Times New Roman" w:hAnsi="Times New Roman" w:cs="Times New Roman"/>
          <w:sz w:val="24"/>
          <w:szCs w:val="24"/>
        </w:rPr>
      </w:pPr>
      <w:r>
        <w:rPr>
          <w:rStyle w:val="FootnoteReference"/>
        </w:rPr>
        <w:t>16</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4; 10.</w:t>
      </w:r>
    </w:p>
    <w:p w14:paraId="0BE80A03" w14:textId="77777777" w:rsidR="00044738" w:rsidRPr="00D13DE0" w:rsidRDefault="00044738" w:rsidP="00192F81">
      <w:pPr>
        <w:pStyle w:val="FootnoteText"/>
        <w:rPr>
          <w:rFonts w:ascii="Times New Roman" w:hAnsi="Times New Roman" w:cs="Times New Roman"/>
          <w:sz w:val="24"/>
          <w:szCs w:val="24"/>
        </w:rPr>
      </w:pPr>
    </w:p>
  </w:footnote>
  <w:footnote w:id="125">
    <w:p w14:paraId="14FB81B3" w14:textId="2434BD62" w:rsidR="00820A2D" w:rsidRPr="00D13DE0" w:rsidRDefault="00820A2D" w:rsidP="00192F81">
      <w:pPr>
        <w:pStyle w:val="FootnoteText"/>
        <w:ind w:firstLine="720"/>
        <w:rPr>
          <w:rFonts w:ascii="Times New Roman" w:hAnsi="Times New Roman" w:cs="Times New Roman"/>
          <w:sz w:val="24"/>
          <w:szCs w:val="24"/>
        </w:rPr>
      </w:pPr>
      <w:r>
        <w:rPr>
          <w:rStyle w:val="FootnoteReference"/>
        </w:rPr>
        <w:t>17</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21.</w:t>
      </w:r>
    </w:p>
    <w:p w14:paraId="0FAB7989" w14:textId="77777777" w:rsidR="00820A2D" w:rsidRPr="00D13DE0" w:rsidRDefault="00820A2D" w:rsidP="00192F81">
      <w:pPr>
        <w:pStyle w:val="FootnoteText"/>
        <w:rPr>
          <w:rFonts w:ascii="Times New Roman" w:hAnsi="Times New Roman" w:cs="Times New Roman"/>
          <w:sz w:val="24"/>
          <w:szCs w:val="24"/>
        </w:rPr>
      </w:pPr>
    </w:p>
  </w:footnote>
  <w:footnote w:id="126">
    <w:p w14:paraId="71199021" w14:textId="4CAF2767" w:rsidR="00820A2D" w:rsidRPr="00D13DE0" w:rsidRDefault="00820A2D" w:rsidP="00192F81">
      <w:pPr>
        <w:pStyle w:val="FootnoteText"/>
        <w:ind w:firstLine="720"/>
        <w:rPr>
          <w:rFonts w:ascii="Times New Roman" w:hAnsi="Times New Roman" w:cs="Times New Roman"/>
          <w:sz w:val="24"/>
          <w:szCs w:val="24"/>
        </w:rPr>
      </w:pPr>
      <w:r>
        <w:rPr>
          <w:rStyle w:val="FootnoteReference"/>
        </w:rPr>
        <w:t>18</w:t>
      </w:r>
      <w:r w:rsidRPr="00D13DE0">
        <w:rPr>
          <w:rFonts w:ascii="Times New Roman" w:hAnsi="Times New Roman" w:cs="Times New Roman"/>
          <w:sz w:val="24"/>
          <w:szCs w:val="24"/>
        </w:rPr>
        <w:t xml:space="preserve"> Alan Woolfolk, 249.</w:t>
      </w:r>
    </w:p>
    <w:p w14:paraId="7CBB34B3" w14:textId="77777777" w:rsidR="00820A2D" w:rsidRPr="00D13DE0" w:rsidRDefault="00820A2D" w:rsidP="00192F81">
      <w:pPr>
        <w:pStyle w:val="FootnoteText"/>
        <w:rPr>
          <w:rFonts w:ascii="Times New Roman" w:hAnsi="Times New Roman" w:cs="Times New Roman"/>
          <w:sz w:val="24"/>
          <w:szCs w:val="24"/>
        </w:rPr>
      </w:pPr>
    </w:p>
  </w:footnote>
  <w:footnote w:id="127">
    <w:p w14:paraId="004CB8A4" w14:textId="21E17BA3" w:rsidR="00820A2D" w:rsidRPr="00D13DE0" w:rsidRDefault="00820A2D" w:rsidP="00192F81">
      <w:pPr>
        <w:pStyle w:val="FootnoteText"/>
        <w:ind w:firstLine="720"/>
        <w:rPr>
          <w:rFonts w:ascii="Times New Roman" w:hAnsi="Times New Roman" w:cs="Times New Roman"/>
          <w:sz w:val="24"/>
          <w:szCs w:val="24"/>
        </w:rPr>
      </w:pPr>
      <w:r>
        <w:rPr>
          <w:rStyle w:val="FootnoteReference"/>
        </w:rPr>
        <w:t>19</w:t>
      </w:r>
      <w:r w:rsidRPr="00D13DE0">
        <w:rPr>
          <w:rFonts w:ascii="Times New Roman" w:hAnsi="Times New Roman" w:cs="Times New Roman"/>
          <w:sz w:val="24"/>
          <w:szCs w:val="24"/>
        </w:rPr>
        <w:t xml:space="preserve"> Philip Rieff, “Wilde As A Modern Prophet,” 412.</w:t>
      </w:r>
    </w:p>
    <w:p w14:paraId="1A542CC5" w14:textId="77777777" w:rsidR="00820A2D" w:rsidRPr="00D13DE0" w:rsidRDefault="00820A2D" w:rsidP="00192F81">
      <w:pPr>
        <w:pStyle w:val="FootnoteText"/>
        <w:rPr>
          <w:rFonts w:ascii="Times New Roman" w:hAnsi="Times New Roman" w:cs="Times New Roman"/>
          <w:sz w:val="24"/>
          <w:szCs w:val="24"/>
        </w:rPr>
      </w:pPr>
    </w:p>
  </w:footnote>
  <w:footnote w:id="128">
    <w:p w14:paraId="1C98157F" w14:textId="5D84D957" w:rsidR="00820A2D" w:rsidRPr="00D13DE0" w:rsidRDefault="00820A2D" w:rsidP="00192F81">
      <w:pPr>
        <w:pStyle w:val="FootnoteText"/>
        <w:ind w:firstLine="720"/>
        <w:rPr>
          <w:rFonts w:ascii="Times New Roman" w:hAnsi="Times New Roman" w:cs="Times New Roman"/>
          <w:sz w:val="24"/>
          <w:szCs w:val="24"/>
        </w:rPr>
      </w:pPr>
      <w:r>
        <w:rPr>
          <w:rStyle w:val="FootnoteReference"/>
        </w:rPr>
        <w:t>20</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4; 10.</w:t>
      </w:r>
    </w:p>
    <w:p w14:paraId="117D7D96" w14:textId="77777777" w:rsidR="00820A2D" w:rsidRPr="00D13DE0" w:rsidRDefault="00820A2D" w:rsidP="00192F81">
      <w:pPr>
        <w:pStyle w:val="FootnoteText"/>
        <w:rPr>
          <w:rFonts w:ascii="Times New Roman" w:hAnsi="Times New Roman" w:cs="Times New Roman"/>
          <w:sz w:val="24"/>
          <w:szCs w:val="24"/>
        </w:rPr>
      </w:pPr>
    </w:p>
  </w:footnote>
  <w:footnote w:id="129">
    <w:p w14:paraId="578100AB" w14:textId="0A2A9270" w:rsidR="00820A2D" w:rsidRPr="00D13DE0" w:rsidRDefault="00820A2D" w:rsidP="00192F81">
      <w:pPr>
        <w:pStyle w:val="FootnoteText"/>
        <w:ind w:firstLine="720"/>
        <w:rPr>
          <w:rFonts w:ascii="Times New Roman" w:hAnsi="Times New Roman" w:cs="Times New Roman"/>
          <w:sz w:val="24"/>
          <w:szCs w:val="24"/>
        </w:rPr>
      </w:pPr>
      <w:r>
        <w:rPr>
          <w:rStyle w:val="FootnoteReference"/>
        </w:rPr>
        <w:t>21</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18.</w:t>
      </w:r>
    </w:p>
    <w:p w14:paraId="0B037E03" w14:textId="77777777" w:rsidR="00820A2D" w:rsidRPr="00D13DE0" w:rsidRDefault="00820A2D" w:rsidP="00192F81">
      <w:pPr>
        <w:pStyle w:val="FootnoteText"/>
        <w:rPr>
          <w:rFonts w:ascii="Times New Roman" w:hAnsi="Times New Roman" w:cs="Times New Roman"/>
          <w:sz w:val="24"/>
          <w:szCs w:val="24"/>
        </w:rPr>
      </w:pPr>
    </w:p>
  </w:footnote>
  <w:footnote w:id="130">
    <w:p w14:paraId="587C3620" w14:textId="07B0B37D" w:rsidR="00820A2D" w:rsidRPr="00D13DE0" w:rsidRDefault="00820A2D" w:rsidP="00192F81">
      <w:pPr>
        <w:pStyle w:val="FootnoteText"/>
        <w:ind w:firstLine="720"/>
        <w:rPr>
          <w:rFonts w:ascii="Times New Roman" w:hAnsi="Times New Roman" w:cs="Times New Roman"/>
          <w:sz w:val="24"/>
          <w:szCs w:val="24"/>
        </w:rPr>
      </w:pPr>
      <w:r>
        <w:rPr>
          <w:rStyle w:val="FootnoteReference"/>
        </w:rPr>
        <w:t>22</w:t>
      </w:r>
      <w:r w:rsidRPr="00D13DE0">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D13DE0">
        <w:rPr>
          <w:rFonts w:ascii="Times New Roman" w:hAnsi="Times New Roman" w:cs="Times New Roman"/>
          <w:sz w:val="24"/>
          <w:szCs w:val="24"/>
        </w:rPr>
        <w:t>, 18.</w:t>
      </w:r>
    </w:p>
    <w:p w14:paraId="30355992" w14:textId="77777777" w:rsidR="00820A2D" w:rsidRPr="00D13DE0" w:rsidRDefault="00820A2D" w:rsidP="00192F81">
      <w:pPr>
        <w:pStyle w:val="FootnoteText"/>
        <w:rPr>
          <w:rFonts w:ascii="Times New Roman" w:hAnsi="Times New Roman" w:cs="Times New Roman"/>
          <w:sz w:val="24"/>
          <w:szCs w:val="24"/>
        </w:rPr>
      </w:pPr>
    </w:p>
  </w:footnote>
  <w:footnote w:id="131">
    <w:p w14:paraId="48D21F6F" w14:textId="4D2DD763" w:rsidR="00820A2D" w:rsidRPr="00533A45" w:rsidRDefault="00820A2D" w:rsidP="00192F81">
      <w:pPr>
        <w:pStyle w:val="FootnoteText"/>
        <w:ind w:firstLine="720"/>
        <w:rPr>
          <w:rFonts w:ascii="Times New Roman" w:hAnsi="Times New Roman" w:cs="Times New Roman"/>
          <w:sz w:val="24"/>
          <w:szCs w:val="24"/>
        </w:rPr>
      </w:pPr>
      <w:r>
        <w:rPr>
          <w:rStyle w:val="FootnoteReference"/>
        </w:rPr>
        <w:t>23</w:t>
      </w:r>
      <w:r w:rsidRPr="00533A45">
        <w:rPr>
          <w:rFonts w:ascii="Times New Roman" w:hAnsi="Times New Roman" w:cs="Times New Roman"/>
          <w:sz w:val="24"/>
          <w:szCs w:val="24"/>
        </w:rPr>
        <w:t xml:space="preserve"> Lauren Langman, 288.</w:t>
      </w:r>
    </w:p>
    <w:p w14:paraId="400CB6D9" w14:textId="77777777" w:rsidR="00820A2D" w:rsidRPr="00533A45" w:rsidRDefault="00820A2D" w:rsidP="00192F81">
      <w:pPr>
        <w:pStyle w:val="FootnoteText"/>
        <w:rPr>
          <w:rFonts w:ascii="Times New Roman" w:hAnsi="Times New Roman" w:cs="Times New Roman"/>
          <w:sz w:val="24"/>
          <w:szCs w:val="24"/>
        </w:rPr>
      </w:pPr>
    </w:p>
  </w:footnote>
  <w:footnote w:id="132">
    <w:p w14:paraId="444EC0DB" w14:textId="551ADBB3" w:rsidR="00820A2D" w:rsidRDefault="00820A2D" w:rsidP="00192F81">
      <w:pPr>
        <w:pStyle w:val="FootnoteText"/>
        <w:ind w:firstLine="720"/>
        <w:rPr>
          <w:rFonts w:ascii="Times New Roman" w:hAnsi="Times New Roman" w:cs="Times New Roman"/>
          <w:sz w:val="24"/>
          <w:szCs w:val="24"/>
        </w:rPr>
      </w:pPr>
      <w:r>
        <w:rPr>
          <w:rStyle w:val="FootnoteReference"/>
        </w:rPr>
        <w:t>24</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20.</w:t>
      </w:r>
    </w:p>
    <w:p w14:paraId="1C497A16" w14:textId="77777777" w:rsidR="00820A2D" w:rsidRPr="00533A45" w:rsidRDefault="00820A2D" w:rsidP="00192F81">
      <w:pPr>
        <w:pStyle w:val="FootnoteText"/>
        <w:rPr>
          <w:rFonts w:ascii="Times New Roman" w:hAnsi="Times New Roman" w:cs="Times New Roman"/>
          <w:sz w:val="24"/>
          <w:szCs w:val="24"/>
        </w:rPr>
      </w:pPr>
    </w:p>
  </w:footnote>
  <w:footnote w:id="133">
    <w:p w14:paraId="049F9900" w14:textId="0610260F" w:rsidR="00820A2D" w:rsidRPr="00533A45" w:rsidRDefault="00820A2D" w:rsidP="00192F81">
      <w:pPr>
        <w:pStyle w:val="FootnoteText"/>
        <w:ind w:firstLine="720"/>
        <w:rPr>
          <w:rFonts w:ascii="Times New Roman" w:hAnsi="Times New Roman" w:cs="Times New Roman"/>
          <w:sz w:val="24"/>
          <w:szCs w:val="24"/>
        </w:rPr>
      </w:pPr>
      <w:r>
        <w:rPr>
          <w:rStyle w:val="FootnoteReference"/>
        </w:rPr>
        <w:t>25</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19.</w:t>
      </w:r>
    </w:p>
    <w:p w14:paraId="79BD4780" w14:textId="77777777" w:rsidR="00820A2D" w:rsidRPr="00533A45" w:rsidRDefault="00820A2D" w:rsidP="00192F81">
      <w:pPr>
        <w:pStyle w:val="FootnoteText"/>
        <w:rPr>
          <w:rFonts w:ascii="Times New Roman" w:hAnsi="Times New Roman" w:cs="Times New Roman"/>
          <w:sz w:val="24"/>
          <w:szCs w:val="24"/>
        </w:rPr>
      </w:pPr>
    </w:p>
  </w:footnote>
  <w:footnote w:id="134">
    <w:p w14:paraId="1888899D" w14:textId="531765B1" w:rsidR="009377BD" w:rsidRPr="00533A45" w:rsidRDefault="009377BD" w:rsidP="00192F81">
      <w:pPr>
        <w:pStyle w:val="FootnoteText"/>
        <w:ind w:firstLine="720"/>
        <w:rPr>
          <w:rFonts w:ascii="Times New Roman" w:hAnsi="Times New Roman" w:cs="Times New Roman"/>
          <w:sz w:val="24"/>
          <w:szCs w:val="24"/>
        </w:rPr>
      </w:pPr>
      <w:r>
        <w:rPr>
          <w:rStyle w:val="FootnoteReference"/>
        </w:rPr>
        <w:t>26</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3.</w:t>
      </w:r>
    </w:p>
    <w:p w14:paraId="491400EF" w14:textId="77777777" w:rsidR="009377BD" w:rsidRPr="00533A45" w:rsidRDefault="009377BD" w:rsidP="00192F81">
      <w:pPr>
        <w:pStyle w:val="FootnoteText"/>
        <w:rPr>
          <w:rFonts w:ascii="Times New Roman" w:hAnsi="Times New Roman" w:cs="Times New Roman"/>
          <w:sz w:val="24"/>
          <w:szCs w:val="24"/>
        </w:rPr>
      </w:pPr>
    </w:p>
  </w:footnote>
  <w:footnote w:id="135">
    <w:p w14:paraId="6E1F80F8" w14:textId="64234D7A" w:rsidR="009377BD" w:rsidRPr="00533A45" w:rsidRDefault="009377BD" w:rsidP="00192F81">
      <w:pPr>
        <w:pStyle w:val="FootnoteText"/>
        <w:ind w:firstLine="720"/>
        <w:rPr>
          <w:rFonts w:ascii="Times New Roman" w:hAnsi="Times New Roman" w:cs="Times New Roman"/>
          <w:sz w:val="24"/>
          <w:szCs w:val="24"/>
        </w:rPr>
      </w:pPr>
      <w:r>
        <w:rPr>
          <w:rStyle w:val="FootnoteReference"/>
        </w:rPr>
        <w:t>27</w:t>
      </w:r>
      <w:r w:rsidRPr="00533A45">
        <w:rPr>
          <w:rFonts w:ascii="Times New Roman" w:hAnsi="Times New Roman" w:cs="Times New Roman"/>
          <w:sz w:val="24"/>
          <w:szCs w:val="24"/>
        </w:rPr>
        <w:t xml:space="preserve"> Philip Rieff, “Wilde As A Modern Prophet,” 411.</w:t>
      </w:r>
    </w:p>
    <w:p w14:paraId="49A39338" w14:textId="77777777" w:rsidR="009377BD" w:rsidRPr="00533A45" w:rsidRDefault="009377BD" w:rsidP="00192F81">
      <w:pPr>
        <w:pStyle w:val="FootnoteText"/>
        <w:rPr>
          <w:rFonts w:ascii="Times New Roman" w:hAnsi="Times New Roman" w:cs="Times New Roman"/>
          <w:sz w:val="24"/>
          <w:szCs w:val="24"/>
        </w:rPr>
      </w:pPr>
    </w:p>
  </w:footnote>
  <w:footnote w:id="136">
    <w:p w14:paraId="6BB6A7DE" w14:textId="3F6E0B84" w:rsidR="009377BD" w:rsidRPr="00533A45" w:rsidRDefault="009377BD" w:rsidP="00192F81">
      <w:pPr>
        <w:pStyle w:val="FootnoteText"/>
        <w:ind w:firstLine="720"/>
        <w:rPr>
          <w:rFonts w:ascii="Times New Roman" w:hAnsi="Times New Roman" w:cs="Times New Roman"/>
          <w:sz w:val="24"/>
          <w:szCs w:val="24"/>
        </w:rPr>
      </w:pPr>
      <w:r>
        <w:rPr>
          <w:rStyle w:val="FootnoteReference"/>
        </w:rPr>
        <w:t>28</w:t>
      </w:r>
      <w:r w:rsidRPr="00533A45">
        <w:rPr>
          <w:rFonts w:ascii="Times New Roman" w:hAnsi="Times New Roman" w:cs="Times New Roman"/>
          <w:sz w:val="24"/>
          <w:szCs w:val="24"/>
        </w:rPr>
        <w:t xml:space="preserve"> Philip Rieff, “Wilde As A Modern Prophet,” 414.</w:t>
      </w:r>
    </w:p>
    <w:p w14:paraId="5952E31D" w14:textId="77777777" w:rsidR="009377BD" w:rsidRDefault="009377BD" w:rsidP="00192F81">
      <w:pPr>
        <w:pStyle w:val="FootnoteText"/>
      </w:pPr>
    </w:p>
  </w:footnote>
  <w:footnote w:id="137">
    <w:p w14:paraId="2514B13D" w14:textId="020785B4" w:rsidR="001B5774" w:rsidRPr="00533A45" w:rsidRDefault="001B5774" w:rsidP="00192F81">
      <w:pPr>
        <w:pStyle w:val="FootnoteText"/>
        <w:ind w:firstLine="720"/>
        <w:rPr>
          <w:rFonts w:ascii="Times New Roman" w:hAnsi="Times New Roman" w:cs="Times New Roman"/>
          <w:sz w:val="24"/>
          <w:szCs w:val="24"/>
        </w:rPr>
      </w:pPr>
      <w:r>
        <w:rPr>
          <w:rStyle w:val="FootnoteReference"/>
        </w:rPr>
        <w:t>29</w:t>
      </w:r>
      <w:r w:rsidRPr="00533A45">
        <w:rPr>
          <w:rFonts w:ascii="Times New Roman" w:hAnsi="Times New Roman" w:cs="Times New Roman"/>
          <w:sz w:val="24"/>
          <w:szCs w:val="24"/>
        </w:rPr>
        <w:t xml:space="preserve"> Philip Rieff, “Wilde As A Modern Prophet,” 419.</w:t>
      </w:r>
    </w:p>
    <w:p w14:paraId="25E02AA2" w14:textId="77777777" w:rsidR="001B5774" w:rsidRPr="00533A45" w:rsidRDefault="001B5774" w:rsidP="00192F81">
      <w:pPr>
        <w:pStyle w:val="FootnoteText"/>
        <w:rPr>
          <w:rFonts w:ascii="Times New Roman" w:hAnsi="Times New Roman" w:cs="Times New Roman"/>
          <w:sz w:val="24"/>
          <w:szCs w:val="24"/>
        </w:rPr>
      </w:pPr>
    </w:p>
  </w:footnote>
  <w:footnote w:id="138">
    <w:p w14:paraId="470A36DA" w14:textId="3386A07F" w:rsidR="001B5774" w:rsidRPr="00533A45" w:rsidRDefault="001B5774" w:rsidP="00192F81">
      <w:pPr>
        <w:pStyle w:val="FootnoteText"/>
        <w:ind w:firstLine="720"/>
        <w:rPr>
          <w:rFonts w:ascii="Times New Roman" w:hAnsi="Times New Roman" w:cs="Times New Roman"/>
          <w:sz w:val="24"/>
          <w:szCs w:val="24"/>
        </w:rPr>
      </w:pPr>
      <w:r>
        <w:rPr>
          <w:rStyle w:val="FootnoteReference"/>
        </w:rPr>
        <w:t>30</w:t>
      </w:r>
      <w:r w:rsidRPr="00533A45">
        <w:rPr>
          <w:rFonts w:ascii="Times New Roman" w:hAnsi="Times New Roman" w:cs="Times New Roman"/>
          <w:sz w:val="24"/>
          <w:szCs w:val="24"/>
        </w:rPr>
        <w:t xml:space="preserve"> Philip Rieff, “Wilde As A Modern Prophet,” 424.</w:t>
      </w:r>
    </w:p>
    <w:p w14:paraId="6DE720A2" w14:textId="77777777" w:rsidR="001B5774" w:rsidRPr="00533A45" w:rsidRDefault="001B5774" w:rsidP="00192F81">
      <w:pPr>
        <w:pStyle w:val="FootnoteText"/>
        <w:rPr>
          <w:rFonts w:ascii="Times New Roman" w:hAnsi="Times New Roman" w:cs="Times New Roman"/>
          <w:sz w:val="24"/>
          <w:szCs w:val="24"/>
        </w:rPr>
      </w:pPr>
    </w:p>
  </w:footnote>
  <w:footnote w:id="139">
    <w:p w14:paraId="4A54B331" w14:textId="15DE29F2" w:rsidR="001B5774" w:rsidRPr="00533A45" w:rsidRDefault="001B5774" w:rsidP="00192F81">
      <w:pPr>
        <w:pStyle w:val="FootnoteText"/>
        <w:ind w:firstLine="720"/>
        <w:rPr>
          <w:rFonts w:ascii="Times New Roman" w:hAnsi="Times New Roman" w:cs="Times New Roman"/>
          <w:sz w:val="24"/>
          <w:szCs w:val="24"/>
        </w:rPr>
      </w:pPr>
      <w:r>
        <w:rPr>
          <w:rStyle w:val="FootnoteReference"/>
        </w:rPr>
        <w:t>31</w:t>
      </w:r>
      <w:r w:rsidRPr="00533A45">
        <w:rPr>
          <w:rFonts w:ascii="Times New Roman" w:hAnsi="Times New Roman" w:cs="Times New Roman"/>
          <w:sz w:val="24"/>
          <w:szCs w:val="24"/>
        </w:rPr>
        <w:t xml:space="preserve"> Philip Rieff, “Wilde As A Modern Prophet,” 410.</w:t>
      </w:r>
    </w:p>
    <w:p w14:paraId="2E6B4D06" w14:textId="77777777" w:rsidR="001B5774" w:rsidRDefault="001B5774" w:rsidP="00192F81">
      <w:pPr>
        <w:pStyle w:val="FootnoteText"/>
      </w:pPr>
    </w:p>
  </w:footnote>
  <w:footnote w:id="140">
    <w:p w14:paraId="1D8AA3A6" w14:textId="4D4E710C" w:rsidR="001B5774" w:rsidRDefault="001B5774" w:rsidP="00192F81">
      <w:pPr>
        <w:pStyle w:val="FootnoteText"/>
        <w:ind w:firstLine="720"/>
        <w:rPr>
          <w:rFonts w:ascii="Times New Roman" w:hAnsi="Times New Roman" w:cs="Times New Roman"/>
          <w:sz w:val="24"/>
          <w:szCs w:val="24"/>
        </w:rPr>
      </w:pPr>
      <w:r>
        <w:rPr>
          <w:rStyle w:val="FootnoteReference"/>
        </w:rPr>
        <w:t>32</w:t>
      </w:r>
      <w:r w:rsidRPr="00533A45">
        <w:rPr>
          <w:rFonts w:ascii="Times New Roman" w:hAnsi="Times New Roman" w:cs="Times New Roman"/>
          <w:sz w:val="24"/>
          <w:szCs w:val="24"/>
        </w:rPr>
        <w:t xml:space="preserve"> Philip Rieff, “Wilde As A Modern Prophet,” 418n8.</w:t>
      </w:r>
    </w:p>
    <w:p w14:paraId="6AB4D831" w14:textId="77777777" w:rsidR="001B5774" w:rsidRPr="00533A45" w:rsidRDefault="001B5774" w:rsidP="00192F81">
      <w:pPr>
        <w:pStyle w:val="FootnoteText"/>
        <w:rPr>
          <w:rFonts w:ascii="Times New Roman" w:hAnsi="Times New Roman" w:cs="Times New Roman"/>
          <w:sz w:val="24"/>
          <w:szCs w:val="24"/>
        </w:rPr>
      </w:pPr>
    </w:p>
  </w:footnote>
  <w:footnote w:id="141">
    <w:p w14:paraId="3DF5D758" w14:textId="13790A27" w:rsidR="001B5774" w:rsidRPr="00533A45" w:rsidRDefault="001B5774" w:rsidP="00192F81">
      <w:pPr>
        <w:pStyle w:val="FootnoteText"/>
        <w:ind w:firstLine="720"/>
        <w:rPr>
          <w:rFonts w:ascii="Times New Roman" w:hAnsi="Times New Roman" w:cs="Times New Roman"/>
          <w:sz w:val="24"/>
          <w:szCs w:val="24"/>
        </w:rPr>
      </w:pPr>
      <w:r>
        <w:rPr>
          <w:rStyle w:val="FootnoteReference"/>
        </w:rPr>
        <w:t>33</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 The Gift of Grace, and How It Has Been Taken Away from Us</w:t>
      </w:r>
      <w:r w:rsidRPr="00533A45">
        <w:rPr>
          <w:rFonts w:ascii="Times New Roman" w:hAnsi="Times New Roman" w:cs="Times New Roman"/>
          <w:sz w:val="24"/>
          <w:szCs w:val="24"/>
        </w:rPr>
        <w:t xml:space="preserve"> (Vintage Books, 2008), 197.</w:t>
      </w:r>
    </w:p>
    <w:p w14:paraId="1B531380" w14:textId="77777777" w:rsidR="001B5774" w:rsidRPr="00533A45" w:rsidRDefault="001B5774" w:rsidP="00192F81">
      <w:pPr>
        <w:pStyle w:val="FootnoteText"/>
        <w:rPr>
          <w:rFonts w:ascii="Times New Roman" w:hAnsi="Times New Roman" w:cs="Times New Roman"/>
          <w:sz w:val="24"/>
          <w:szCs w:val="24"/>
        </w:rPr>
      </w:pPr>
    </w:p>
  </w:footnote>
  <w:footnote w:id="142">
    <w:p w14:paraId="5A553C75" w14:textId="6B1CC966" w:rsidR="001B5774" w:rsidRPr="00533A45" w:rsidRDefault="001B5774" w:rsidP="00192F81">
      <w:pPr>
        <w:pStyle w:val="FootnoteText"/>
        <w:ind w:firstLine="720"/>
        <w:rPr>
          <w:rFonts w:ascii="Times New Roman" w:hAnsi="Times New Roman" w:cs="Times New Roman"/>
          <w:sz w:val="24"/>
          <w:szCs w:val="24"/>
        </w:rPr>
      </w:pPr>
      <w:r>
        <w:rPr>
          <w:rStyle w:val="FootnoteReference"/>
        </w:rPr>
        <w:t>34</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214.</w:t>
      </w:r>
    </w:p>
    <w:p w14:paraId="12FD420D" w14:textId="77777777" w:rsidR="001B5774" w:rsidRPr="00533A45" w:rsidRDefault="001B5774" w:rsidP="00192F81">
      <w:pPr>
        <w:pStyle w:val="FootnoteText"/>
        <w:rPr>
          <w:rFonts w:ascii="Times New Roman" w:hAnsi="Times New Roman" w:cs="Times New Roman"/>
          <w:sz w:val="24"/>
          <w:szCs w:val="24"/>
        </w:rPr>
      </w:pPr>
    </w:p>
  </w:footnote>
  <w:footnote w:id="143">
    <w:p w14:paraId="52EACB8A" w14:textId="153D1289" w:rsidR="001B5774" w:rsidRPr="00533A45" w:rsidRDefault="001B5774" w:rsidP="00192F81">
      <w:pPr>
        <w:pStyle w:val="FootnoteText"/>
        <w:ind w:firstLine="720"/>
        <w:rPr>
          <w:rFonts w:ascii="Times New Roman" w:hAnsi="Times New Roman" w:cs="Times New Roman"/>
          <w:sz w:val="24"/>
          <w:szCs w:val="24"/>
        </w:rPr>
      </w:pPr>
      <w:r>
        <w:rPr>
          <w:rStyle w:val="FootnoteReference"/>
        </w:rPr>
        <w:t>35</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35.</w:t>
      </w:r>
    </w:p>
    <w:p w14:paraId="148F5FA0" w14:textId="77777777" w:rsidR="001B5774" w:rsidRPr="00533A45" w:rsidRDefault="001B5774" w:rsidP="00192F81">
      <w:pPr>
        <w:pStyle w:val="FootnoteText"/>
        <w:rPr>
          <w:rFonts w:ascii="Times New Roman" w:hAnsi="Times New Roman" w:cs="Times New Roman"/>
          <w:sz w:val="24"/>
          <w:szCs w:val="24"/>
        </w:rPr>
      </w:pPr>
    </w:p>
  </w:footnote>
  <w:footnote w:id="144">
    <w:p w14:paraId="04885D28" w14:textId="1AC3F4DC" w:rsidR="001A33F4" w:rsidRPr="00533A45" w:rsidRDefault="001A33F4" w:rsidP="00192F81">
      <w:pPr>
        <w:pStyle w:val="FootnoteText"/>
        <w:ind w:firstLine="720"/>
        <w:rPr>
          <w:rFonts w:ascii="Times New Roman" w:hAnsi="Times New Roman" w:cs="Times New Roman"/>
          <w:sz w:val="24"/>
          <w:szCs w:val="24"/>
        </w:rPr>
      </w:pPr>
      <w:r>
        <w:rPr>
          <w:rStyle w:val="FootnoteReference"/>
        </w:rPr>
        <w:t>36</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6; Carl Trueman, 50.</w:t>
      </w:r>
    </w:p>
    <w:p w14:paraId="7E6A70E3" w14:textId="77777777" w:rsidR="001A33F4" w:rsidRPr="00533A45" w:rsidRDefault="001A33F4" w:rsidP="00192F81">
      <w:pPr>
        <w:pStyle w:val="FootnoteText"/>
        <w:rPr>
          <w:rFonts w:ascii="Times New Roman" w:hAnsi="Times New Roman" w:cs="Times New Roman"/>
          <w:sz w:val="24"/>
          <w:szCs w:val="24"/>
        </w:rPr>
      </w:pPr>
    </w:p>
  </w:footnote>
  <w:footnote w:id="145">
    <w:p w14:paraId="004B46BE" w14:textId="65E54B5C" w:rsidR="001A33F4" w:rsidRPr="00533A45" w:rsidRDefault="001A33F4" w:rsidP="00192F81">
      <w:pPr>
        <w:pStyle w:val="FootnoteText"/>
        <w:ind w:firstLine="720"/>
        <w:rPr>
          <w:rFonts w:ascii="Times New Roman" w:hAnsi="Times New Roman" w:cs="Times New Roman"/>
          <w:sz w:val="24"/>
          <w:szCs w:val="24"/>
        </w:rPr>
      </w:pPr>
      <w:r>
        <w:rPr>
          <w:rStyle w:val="FootnoteReference"/>
        </w:rPr>
        <w:t>37</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205.</w:t>
      </w:r>
    </w:p>
    <w:p w14:paraId="62E58C69" w14:textId="77777777" w:rsidR="001A33F4" w:rsidRDefault="001A33F4" w:rsidP="00192F81">
      <w:pPr>
        <w:pStyle w:val="FootnoteText"/>
      </w:pPr>
    </w:p>
  </w:footnote>
  <w:footnote w:id="146">
    <w:p w14:paraId="4F4EE1F1" w14:textId="2F48CD17" w:rsidR="001A33F4" w:rsidRPr="00D13925" w:rsidRDefault="001A33F4" w:rsidP="00192F81">
      <w:pPr>
        <w:pStyle w:val="FootnoteText"/>
        <w:ind w:firstLine="720"/>
        <w:rPr>
          <w:rFonts w:ascii="Times New Roman" w:hAnsi="Times New Roman" w:cs="Times New Roman"/>
          <w:sz w:val="24"/>
          <w:szCs w:val="24"/>
        </w:rPr>
      </w:pPr>
      <w:r>
        <w:rPr>
          <w:rStyle w:val="FootnoteReference"/>
        </w:rPr>
        <w:t>38</w:t>
      </w:r>
      <w:r w:rsidRPr="00D13925">
        <w:rPr>
          <w:rFonts w:ascii="Times New Roman" w:hAnsi="Times New Roman" w:cs="Times New Roman"/>
          <w:sz w:val="24"/>
          <w:szCs w:val="24"/>
        </w:rPr>
        <w:t xml:space="preserve"> Philip Rieff, </w:t>
      </w:r>
      <w:r w:rsidRPr="00D13925">
        <w:rPr>
          <w:rFonts w:ascii="Times New Roman" w:hAnsi="Times New Roman" w:cs="Times New Roman"/>
          <w:i/>
          <w:iCs/>
          <w:sz w:val="24"/>
          <w:szCs w:val="24"/>
        </w:rPr>
        <w:t>Triumph of the Therapeutic</w:t>
      </w:r>
      <w:r w:rsidRPr="00D13925">
        <w:rPr>
          <w:rFonts w:ascii="Times New Roman" w:hAnsi="Times New Roman" w:cs="Times New Roman"/>
          <w:sz w:val="24"/>
          <w:szCs w:val="24"/>
        </w:rPr>
        <w:t>, 20.</w:t>
      </w:r>
    </w:p>
  </w:footnote>
  <w:footnote w:id="147">
    <w:p w14:paraId="383AC440" w14:textId="335677EE" w:rsidR="001A33F4" w:rsidRDefault="001A33F4" w:rsidP="00192F81">
      <w:pPr>
        <w:pStyle w:val="FootnoteText"/>
        <w:ind w:firstLine="720"/>
        <w:rPr>
          <w:rFonts w:ascii="Times New Roman" w:hAnsi="Times New Roman" w:cs="Times New Roman"/>
          <w:sz w:val="24"/>
          <w:szCs w:val="24"/>
        </w:rPr>
      </w:pPr>
      <w:r>
        <w:rPr>
          <w:rStyle w:val="FootnoteReference"/>
        </w:rPr>
        <w:t>39</w:t>
      </w:r>
      <w:r>
        <w:t xml:space="preserve"> </w:t>
      </w:r>
      <w:r w:rsidRPr="00533A45">
        <w:rPr>
          <w:rFonts w:ascii="Times New Roman" w:hAnsi="Times New Roman" w:cs="Times New Roman"/>
          <w:sz w:val="24"/>
          <w:szCs w:val="24"/>
        </w:rPr>
        <w:t xml:space="preserve">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xml:space="preserve">, </w:t>
      </w:r>
      <w:r>
        <w:rPr>
          <w:rFonts w:ascii="Times New Roman" w:hAnsi="Times New Roman" w:cs="Times New Roman"/>
          <w:sz w:val="24"/>
          <w:szCs w:val="24"/>
        </w:rPr>
        <w:t>132; 137</w:t>
      </w:r>
      <w:r w:rsidRPr="00533A45">
        <w:rPr>
          <w:rFonts w:ascii="Times New Roman" w:hAnsi="Times New Roman" w:cs="Times New Roman"/>
          <w:sz w:val="24"/>
          <w:szCs w:val="24"/>
        </w:rPr>
        <w:t>.</w:t>
      </w:r>
    </w:p>
    <w:p w14:paraId="41879D86" w14:textId="77777777" w:rsidR="001A33F4" w:rsidRDefault="001A33F4" w:rsidP="00192F81">
      <w:pPr>
        <w:pStyle w:val="FootnoteText"/>
      </w:pPr>
    </w:p>
  </w:footnote>
  <w:footnote w:id="148">
    <w:p w14:paraId="2EDC40A4" w14:textId="6DB58E07" w:rsidR="001A33F4" w:rsidRDefault="001A33F4" w:rsidP="00192F81">
      <w:pPr>
        <w:pStyle w:val="FootnoteText"/>
        <w:ind w:firstLine="720"/>
        <w:rPr>
          <w:rFonts w:ascii="Times New Roman" w:hAnsi="Times New Roman" w:cs="Times New Roman"/>
          <w:sz w:val="24"/>
          <w:szCs w:val="24"/>
        </w:rPr>
      </w:pPr>
      <w:r>
        <w:rPr>
          <w:rStyle w:val="FootnoteReference"/>
        </w:rPr>
        <w:t>40</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Triumph of the Therapeutic</w:t>
      </w:r>
      <w:r w:rsidRPr="00533A45">
        <w:rPr>
          <w:rFonts w:ascii="Times New Roman" w:hAnsi="Times New Roman" w:cs="Times New Roman"/>
          <w:sz w:val="24"/>
          <w:szCs w:val="24"/>
        </w:rPr>
        <w:t>, 20.</w:t>
      </w:r>
    </w:p>
    <w:p w14:paraId="52A8AE8A" w14:textId="77777777" w:rsidR="001A33F4" w:rsidRPr="00533A45" w:rsidRDefault="001A33F4" w:rsidP="00192F81">
      <w:pPr>
        <w:pStyle w:val="FootnoteText"/>
        <w:rPr>
          <w:rFonts w:ascii="Times New Roman" w:hAnsi="Times New Roman" w:cs="Times New Roman"/>
          <w:sz w:val="24"/>
          <w:szCs w:val="24"/>
        </w:rPr>
      </w:pPr>
    </w:p>
  </w:footnote>
  <w:footnote w:id="149">
    <w:p w14:paraId="2F700504" w14:textId="0DFDD8DD" w:rsidR="00EE4E03" w:rsidRPr="00533A45" w:rsidRDefault="00EE4E03" w:rsidP="00192F81">
      <w:pPr>
        <w:pStyle w:val="FootnoteText"/>
        <w:ind w:firstLine="720"/>
        <w:rPr>
          <w:rFonts w:ascii="Times New Roman" w:hAnsi="Times New Roman" w:cs="Times New Roman"/>
          <w:sz w:val="24"/>
          <w:szCs w:val="24"/>
        </w:rPr>
      </w:pPr>
      <w:r>
        <w:rPr>
          <w:rStyle w:val="FootnoteReference"/>
        </w:rPr>
        <w:t>41</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205.</w:t>
      </w:r>
    </w:p>
    <w:p w14:paraId="777D384D" w14:textId="77777777" w:rsidR="00EE4E03" w:rsidRPr="00533A45" w:rsidRDefault="00EE4E03" w:rsidP="00192F81">
      <w:pPr>
        <w:pStyle w:val="FootnoteText"/>
        <w:rPr>
          <w:rFonts w:ascii="Times New Roman" w:hAnsi="Times New Roman" w:cs="Times New Roman"/>
          <w:sz w:val="24"/>
          <w:szCs w:val="24"/>
        </w:rPr>
      </w:pPr>
    </w:p>
  </w:footnote>
  <w:footnote w:id="150">
    <w:p w14:paraId="393F6438" w14:textId="1DE357D3" w:rsidR="00EE4E03" w:rsidRPr="00533A45" w:rsidRDefault="00EE4E03" w:rsidP="00192F81">
      <w:pPr>
        <w:pStyle w:val="FootnoteText"/>
        <w:ind w:firstLine="720"/>
        <w:rPr>
          <w:rFonts w:ascii="Times New Roman" w:hAnsi="Times New Roman" w:cs="Times New Roman"/>
          <w:sz w:val="24"/>
          <w:szCs w:val="24"/>
        </w:rPr>
      </w:pPr>
      <w:r>
        <w:rPr>
          <w:rStyle w:val="FootnoteReference"/>
        </w:rPr>
        <w:t>42</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13.</w:t>
      </w:r>
    </w:p>
    <w:p w14:paraId="4FF48D9D" w14:textId="77777777" w:rsidR="00EE4E03" w:rsidRDefault="00EE4E03" w:rsidP="00192F81">
      <w:pPr>
        <w:pStyle w:val="FootnoteText"/>
      </w:pPr>
    </w:p>
  </w:footnote>
  <w:footnote w:id="151">
    <w:p w14:paraId="5A698830" w14:textId="7F8F1826" w:rsidR="00EE4E03" w:rsidRPr="00533A45" w:rsidRDefault="00EE4E03" w:rsidP="00192F81">
      <w:pPr>
        <w:pStyle w:val="FootnoteText"/>
        <w:ind w:firstLine="720"/>
        <w:rPr>
          <w:rFonts w:ascii="Times New Roman" w:hAnsi="Times New Roman" w:cs="Times New Roman"/>
          <w:sz w:val="24"/>
          <w:szCs w:val="24"/>
        </w:rPr>
      </w:pPr>
      <w:r>
        <w:rPr>
          <w:rStyle w:val="FootnoteReference"/>
        </w:rPr>
        <w:t>43</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19.</w:t>
      </w:r>
    </w:p>
    <w:p w14:paraId="1D9A6F75" w14:textId="77777777" w:rsidR="00EE4E03" w:rsidRPr="00533A45" w:rsidRDefault="00EE4E03" w:rsidP="00192F81">
      <w:pPr>
        <w:pStyle w:val="FootnoteText"/>
        <w:rPr>
          <w:rFonts w:ascii="Times New Roman" w:hAnsi="Times New Roman" w:cs="Times New Roman"/>
          <w:sz w:val="24"/>
          <w:szCs w:val="24"/>
        </w:rPr>
      </w:pPr>
    </w:p>
  </w:footnote>
  <w:footnote w:id="152">
    <w:p w14:paraId="3FDDAC55" w14:textId="7158E542" w:rsidR="00EE4E03" w:rsidRDefault="00EE4E03" w:rsidP="00192F81">
      <w:pPr>
        <w:pStyle w:val="FootnoteText"/>
        <w:ind w:firstLine="720"/>
        <w:rPr>
          <w:rFonts w:ascii="Times New Roman" w:hAnsi="Times New Roman" w:cs="Times New Roman"/>
          <w:sz w:val="24"/>
          <w:szCs w:val="24"/>
        </w:rPr>
      </w:pPr>
      <w:r>
        <w:rPr>
          <w:rStyle w:val="FootnoteReference"/>
        </w:rPr>
        <w:t>44</w:t>
      </w:r>
      <w:r w:rsidRPr="00533A45">
        <w:rPr>
          <w:rFonts w:ascii="Times New Roman" w:hAnsi="Times New Roman" w:cs="Times New Roman"/>
          <w:sz w:val="24"/>
          <w:szCs w:val="24"/>
        </w:rPr>
        <w:t xml:space="preserve"> Philip Rieff, “The Theology of Politics: Reflections on Totalitarianism as the Burden of Our Time (A Review Article),” </w:t>
      </w:r>
      <w:r w:rsidRPr="00533A45">
        <w:rPr>
          <w:rFonts w:ascii="Times New Roman" w:hAnsi="Times New Roman" w:cs="Times New Roman"/>
          <w:i/>
          <w:iCs/>
          <w:sz w:val="24"/>
          <w:szCs w:val="24"/>
        </w:rPr>
        <w:t>The Journal of Religion</w:t>
      </w:r>
      <w:r w:rsidRPr="00533A45">
        <w:rPr>
          <w:rFonts w:ascii="Times New Roman" w:hAnsi="Times New Roman" w:cs="Times New Roman"/>
          <w:sz w:val="24"/>
          <w:szCs w:val="24"/>
        </w:rPr>
        <w:t xml:space="preserve"> 32, no. 2 (April 1, 1952): 120.</w:t>
      </w:r>
    </w:p>
    <w:p w14:paraId="3628FF76" w14:textId="77777777" w:rsidR="00EE4E03" w:rsidRPr="00533A45" w:rsidRDefault="00EE4E03" w:rsidP="00192F81">
      <w:pPr>
        <w:pStyle w:val="FootnoteText"/>
        <w:ind w:firstLine="720"/>
        <w:rPr>
          <w:rFonts w:ascii="Times New Roman" w:hAnsi="Times New Roman" w:cs="Times New Roman"/>
          <w:sz w:val="24"/>
          <w:szCs w:val="24"/>
        </w:rPr>
      </w:pPr>
    </w:p>
  </w:footnote>
  <w:footnote w:id="153">
    <w:p w14:paraId="1690A8A0" w14:textId="417DFD5B" w:rsidR="00EE4E03" w:rsidRPr="00533A45" w:rsidRDefault="00EE4E03" w:rsidP="00192F81">
      <w:pPr>
        <w:pStyle w:val="FootnoteText"/>
        <w:ind w:firstLine="720"/>
        <w:rPr>
          <w:rFonts w:ascii="Times New Roman" w:hAnsi="Times New Roman" w:cs="Times New Roman"/>
          <w:sz w:val="24"/>
          <w:szCs w:val="24"/>
        </w:rPr>
      </w:pPr>
      <w:r>
        <w:rPr>
          <w:rStyle w:val="FootnoteReference"/>
        </w:rPr>
        <w:t>45</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203.</w:t>
      </w:r>
    </w:p>
    <w:p w14:paraId="46A1CF9A" w14:textId="77777777" w:rsidR="00EE4E03" w:rsidRPr="00533A45" w:rsidRDefault="00EE4E03" w:rsidP="00192F81">
      <w:pPr>
        <w:pStyle w:val="FootnoteText"/>
        <w:rPr>
          <w:rFonts w:ascii="Times New Roman" w:hAnsi="Times New Roman" w:cs="Times New Roman"/>
          <w:sz w:val="24"/>
          <w:szCs w:val="24"/>
        </w:rPr>
      </w:pPr>
    </w:p>
  </w:footnote>
  <w:footnote w:id="154">
    <w:p w14:paraId="49C822B9" w14:textId="5ADEC18B" w:rsidR="00CA1298" w:rsidRPr="00533A45" w:rsidRDefault="00CA1298" w:rsidP="00192F81">
      <w:pPr>
        <w:pStyle w:val="FootnoteText"/>
        <w:ind w:firstLine="720"/>
        <w:rPr>
          <w:rFonts w:ascii="Times New Roman" w:hAnsi="Times New Roman" w:cs="Times New Roman"/>
          <w:sz w:val="24"/>
          <w:szCs w:val="24"/>
        </w:rPr>
      </w:pPr>
      <w:r>
        <w:rPr>
          <w:rStyle w:val="FootnoteReference"/>
        </w:rPr>
        <w:t>46</w:t>
      </w:r>
      <w:r w:rsidRPr="00533A45">
        <w:rPr>
          <w:rFonts w:ascii="Times New Roman" w:hAnsi="Times New Roman" w:cs="Times New Roman"/>
          <w:sz w:val="24"/>
          <w:szCs w:val="24"/>
        </w:rPr>
        <w:t xml:space="preserve"> Philip Rieff</w:t>
      </w:r>
      <w:r w:rsidRPr="00CE51FA">
        <w:rPr>
          <w:rFonts w:ascii="Times New Roman" w:hAnsi="Times New Roman" w:cs="Times New Roman"/>
          <w:i/>
          <w:iCs/>
          <w:sz w:val="24"/>
          <w:szCs w:val="24"/>
        </w:rPr>
        <w:t>, Charisma</w:t>
      </w:r>
      <w:r w:rsidRPr="00533A45">
        <w:rPr>
          <w:rFonts w:ascii="Times New Roman" w:hAnsi="Times New Roman" w:cs="Times New Roman"/>
          <w:sz w:val="24"/>
          <w:szCs w:val="24"/>
        </w:rPr>
        <w:t>, 25.</w:t>
      </w:r>
    </w:p>
    <w:p w14:paraId="1DE8EDDF" w14:textId="77777777" w:rsidR="00CA1298" w:rsidRPr="00533A45" w:rsidRDefault="00CA1298" w:rsidP="00192F81">
      <w:pPr>
        <w:pStyle w:val="FootnoteText"/>
        <w:rPr>
          <w:rFonts w:ascii="Times New Roman" w:hAnsi="Times New Roman" w:cs="Times New Roman"/>
          <w:sz w:val="24"/>
          <w:szCs w:val="24"/>
        </w:rPr>
      </w:pPr>
    </w:p>
  </w:footnote>
  <w:footnote w:id="155">
    <w:p w14:paraId="17654EB3" w14:textId="4894C998" w:rsidR="00CA1298" w:rsidRPr="00303BC1" w:rsidRDefault="00CA1298" w:rsidP="00192F81">
      <w:pPr>
        <w:pStyle w:val="FootnoteText"/>
        <w:ind w:firstLine="720"/>
        <w:rPr>
          <w:rFonts w:ascii="Times New Roman" w:hAnsi="Times New Roman" w:cs="Times New Roman"/>
          <w:sz w:val="24"/>
          <w:szCs w:val="24"/>
        </w:rPr>
      </w:pPr>
      <w:r>
        <w:rPr>
          <w:rStyle w:val="FootnoteReference"/>
        </w:rPr>
        <w:t>47</w:t>
      </w:r>
      <w:r w:rsidRPr="00533A45">
        <w:rPr>
          <w:rFonts w:ascii="Times New Roman" w:hAnsi="Times New Roman" w:cs="Times New Roman"/>
          <w:sz w:val="24"/>
          <w:szCs w:val="24"/>
        </w:rPr>
        <w:t xml:space="preserve"> Philip Rieff, “Wilde As A Modern Prophet,” 415.</w:t>
      </w:r>
    </w:p>
  </w:footnote>
  <w:footnote w:id="156">
    <w:p w14:paraId="6D475885" w14:textId="51D5AD35" w:rsidR="00CA1298" w:rsidRDefault="00CA1298" w:rsidP="00192F81">
      <w:pPr>
        <w:pStyle w:val="FootnoteText"/>
        <w:ind w:firstLine="720"/>
        <w:rPr>
          <w:rFonts w:ascii="Times New Roman" w:hAnsi="Times New Roman" w:cs="Times New Roman"/>
          <w:sz w:val="24"/>
          <w:szCs w:val="24"/>
        </w:rPr>
      </w:pPr>
      <w:r>
        <w:rPr>
          <w:rStyle w:val="FootnoteReference"/>
        </w:rPr>
        <w:t>48</w:t>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210.</w:t>
      </w:r>
    </w:p>
    <w:p w14:paraId="651BDFFF" w14:textId="77777777" w:rsidR="00CA1298" w:rsidRPr="00533A45" w:rsidRDefault="00CA1298" w:rsidP="00192F81">
      <w:pPr>
        <w:pStyle w:val="FootnoteText"/>
        <w:rPr>
          <w:rFonts w:ascii="Times New Roman" w:hAnsi="Times New Roman" w:cs="Times New Roman"/>
          <w:sz w:val="24"/>
          <w:szCs w:val="24"/>
        </w:rPr>
      </w:pPr>
    </w:p>
  </w:footnote>
  <w:footnote w:id="157">
    <w:p w14:paraId="7A4F5543"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“For the Last Time Psychology: Thoughts on the Therapeutic Twenty Years After,” </w:t>
      </w:r>
      <w:r w:rsidRPr="00CE51FA">
        <w:rPr>
          <w:rFonts w:ascii="Times New Roman" w:hAnsi="Times New Roman" w:cs="Times New Roman"/>
          <w:i/>
          <w:iCs/>
          <w:sz w:val="24"/>
          <w:szCs w:val="24"/>
        </w:rPr>
        <w:t>Salmagundi</w:t>
      </w:r>
      <w:r w:rsidRPr="00533A45">
        <w:rPr>
          <w:rFonts w:ascii="Times New Roman" w:hAnsi="Times New Roman" w:cs="Times New Roman"/>
          <w:sz w:val="24"/>
          <w:szCs w:val="24"/>
        </w:rPr>
        <w:t>, no. 74/75 (April 1, 1987): 108.</w:t>
      </w:r>
    </w:p>
    <w:p w14:paraId="5086EB2B" w14:textId="77777777" w:rsidR="00192F81" w:rsidRPr="00533A45" w:rsidRDefault="00192F81" w:rsidP="00192F81">
      <w:pPr>
        <w:pStyle w:val="FootnoteText"/>
        <w:rPr>
          <w:rFonts w:ascii="Times New Roman" w:hAnsi="Times New Roman" w:cs="Times New Roman"/>
          <w:sz w:val="24"/>
          <w:szCs w:val="24"/>
        </w:rPr>
      </w:pPr>
    </w:p>
  </w:footnote>
  <w:footnote w:id="158">
    <w:p w14:paraId="62F8A5D0"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“Thoughts on the Therapeutic Twenty Years After,” 104.</w:t>
      </w:r>
    </w:p>
    <w:p w14:paraId="77FE0A8E" w14:textId="77777777" w:rsidR="00192F81" w:rsidRPr="00533A45" w:rsidRDefault="00192F81" w:rsidP="00192F81">
      <w:pPr>
        <w:pStyle w:val="FootnoteText"/>
        <w:rPr>
          <w:rFonts w:ascii="Times New Roman" w:hAnsi="Times New Roman" w:cs="Times New Roman"/>
          <w:sz w:val="24"/>
          <w:szCs w:val="24"/>
        </w:rPr>
      </w:pPr>
    </w:p>
  </w:footnote>
  <w:footnote w:id="159">
    <w:p w14:paraId="67E7DC4D"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w:t>
      </w:r>
      <w:r w:rsidRPr="00CE51FA">
        <w:rPr>
          <w:rFonts w:ascii="Times New Roman" w:hAnsi="Times New Roman" w:cs="Times New Roman"/>
          <w:i/>
          <w:iCs/>
          <w:sz w:val="24"/>
          <w:szCs w:val="24"/>
        </w:rPr>
        <w:t>, Charisma</w:t>
      </w:r>
      <w:r w:rsidRPr="00533A45">
        <w:rPr>
          <w:rFonts w:ascii="Times New Roman" w:hAnsi="Times New Roman" w:cs="Times New Roman"/>
          <w:sz w:val="24"/>
          <w:szCs w:val="24"/>
        </w:rPr>
        <w:t>, 6.</w:t>
      </w:r>
    </w:p>
    <w:p w14:paraId="44FB5369" w14:textId="77777777" w:rsidR="00192F81" w:rsidRDefault="00192F81" w:rsidP="00192F81">
      <w:pPr>
        <w:pStyle w:val="FootnoteText"/>
      </w:pPr>
    </w:p>
  </w:footnote>
  <w:footnote w:id="160">
    <w:p w14:paraId="78BBAA06"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w:t>
      </w:r>
      <w:r w:rsidRPr="00CE51FA">
        <w:rPr>
          <w:rFonts w:ascii="Times New Roman" w:hAnsi="Times New Roman" w:cs="Times New Roman"/>
          <w:i/>
          <w:iCs/>
          <w:sz w:val="24"/>
          <w:szCs w:val="24"/>
        </w:rPr>
        <w:t>, Charisma</w:t>
      </w:r>
      <w:r w:rsidRPr="00533A45">
        <w:rPr>
          <w:rFonts w:ascii="Times New Roman" w:hAnsi="Times New Roman" w:cs="Times New Roman"/>
          <w:sz w:val="24"/>
          <w:szCs w:val="24"/>
        </w:rPr>
        <w:t>, 6.</w:t>
      </w:r>
    </w:p>
    <w:p w14:paraId="5276A1F0" w14:textId="77777777" w:rsidR="00192F81" w:rsidRDefault="00192F81" w:rsidP="00192F81">
      <w:pPr>
        <w:pStyle w:val="FootnoteText"/>
      </w:pPr>
    </w:p>
  </w:footnote>
  <w:footnote w:id="161">
    <w:p w14:paraId="2C2F5479" w14:textId="77777777" w:rsidR="00192F81"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22.</w:t>
      </w:r>
    </w:p>
    <w:p w14:paraId="2EC86918" w14:textId="77777777" w:rsidR="00192F81" w:rsidRPr="00533A45" w:rsidRDefault="00192F81" w:rsidP="00192F81">
      <w:pPr>
        <w:pStyle w:val="FootnoteText"/>
        <w:rPr>
          <w:rFonts w:ascii="Times New Roman" w:hAnsi="Times New Roman" w:cs="Times New Roman"/>
          <w:sz w:val="24"/>
          <w:szCs w:val="24"/>
        </w:rPr>
      </w:pPr>
    </w:p>
  </w:footnote>
  <w:footnote w:id="162">
    <w:p w14:paraId="59748DF7"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w:t>
      </w:r>
      <w:r w:rsidRPr="00CE51FA">
        <w:rPr>
          <w:rFonts w:ascii="Times New Roman" w:hAnsi="Times New Roman" w:cs="Times New Roman"/>
          <w:i/>
          <w:iCs/>
          <w:sz w:val="24"/>
          <w:szCs w:val="24"/>
        </w:rPr>
        <w:t>Charisma</w:t>
      </w:r>
      <w:r w:rsidRPr="00533A45">
        <w:rPr>
          <w:rFonts w:ascii="Times New Roman" w:hAnsi="Times New Roman" w:cs="Times New Roman"/>
          <w:sz w:val="24"/>
          <w:szCs w:val="24"/>
        </w:rPr>
        <w:t>, 180.</w:t>
      </w:r>
    </w:p>
    <w:p w14:paraId="67772B2C" w14:textId="77777777" w:rsidR="00192F81" w:rsidRPr="00533A45" w:rsidRDefault="00192F81" w:rsidP="00192F81">
      <w:pPr>
        <w:pStyle w:val="FootnoteText"/>
        <w:rPr>
          <w:rFonts w:ascii="Times New Roman" w:hAnsi="Times New Roman" w:cs="Times New Roman"/>
          <w:sz w:val="24"/>
          <w:szCs w:val="24"/>
        </w:rPr>
      </w:pPr>
    </w:p>
  </w:footnote>
  <w:footnote w:id="163">
    <w:p w14:paraId="61C02D25" w14:textId="77777777" w:rsidR="00192F81" w:rsidRPr="00533A45" w:rsidRDefault="00192F81" w:rsidP="00192F81">
      <w:pPr>
        <w:pStyle w:val="FootnoteText"/>
        <w:ind w:firstLine="720"/>
        <w:rPr>
          <w:rFonts w:ascii="Times New Roman" w:hAnsi="Times New Roman" w:cs="Times New Roman"/>
          <w:sz w:val="24"/>
          <w:szCs w:val="24"/>
        </w:rPr>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“Thoughts on the Therapeutic Twenty Years After,” 103.</w:t>
      </w:r>
    </w:p>
    <w:p w14:paraId="2490CF71" w14:textId="77777777" w:rsidR="00192F81" w:rsidRPr="00533A45" w:rsidRDefault="00192F81" w:rsidP="00192F81">
      <w:pPr>
        <w:pStyle w:val="FootnoteText"/>
        <w:rPr>
          <w:rFonts w:ascii="Times New Roman" w:hAnsi="Times New Roman" w:cs="Times New Roman"/>
          <w:sz w:val="24"/>
          <w:szCs w:val="24"/>
        </w:rPr>
      </w:pPr>
    </w:p>
  </w:footnote>
  <w:footnote w:id="164">
    <w:p w14:paraId="6272E436" w14:textId="77777777" w:rsidR="00192F81" w:rsidRDefault="00192F81" w:rsidP="00192F81">
      <w:pPr>
        <w:pStyle w:val="FootnoteText"/>
        <w:ind w:firstLine="720"/>
      </w:pPr>
      <w:r w:rsidRPr="00533A45">
        <w:rPr>
          <w:rStyle w:val="FootnoteReference"/>
          <w:rFonts w:ascii="Times New Roman" w:hAnsi="Times New Roman" w:cs="Times New Roman"/>
          <w:sz w:val="24"/>
          <w:szCs w:val="24"/>
        </w:rPr>
        <w:footnoteRef/>
      </w:r>
      <w:r w:rsidRPr="00533A45">
        <w:rPr>
          <w:rFonts w:ascii="Times New Roman" w:hAnsi="Times New Roman" w:cs="Times New Roman"/>
          <w:sz w:val="24"/>
          <w:szCs w:val="24"/>
        </w:rPr>
        <w:t xml:space="preserve"> Philip Rieff, “Thoughts on the Therapeutic Twenty Years After,” 111.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97"/>
    <w:rsid w:val="00004072"/>
    <w:rsid w:val="00037D1A"/>
    <w:rsid w:val="00040B27"/>
    <w:rsid w:val="00044738"/>
    <w:rsid w:val="00087242"/>
    <w:rsid w:val="0011020D"/>
    <w:rsid w:val="0012419F"/>
    <w:rsid w:val="001373F1"/>
    <w:rsid w:val="00171C6C"/>
    <w:rsid w:val="00192F81"/>
    <w:rsid w:val="00194658"/>
    <w:rsid w:val="001A33F4"/>
    <w:rsid w:val="001B3848"/>
    <w:rsid w:val="001B5774"/>
    <w:rsid w:val="001E5AE1"/>
    <w:rsid w:val="001E6A1F"/>
    <w:rsid w:val="002507CA"/>
    <w:rsid w:val="002735A7"/>
    <w:rsid w:val="00275042"/>
    <w:rsid w:val="00296842"/>
    <w:rsid w:val="003028CB"/>
    <w:rsid w:val="003072BC"/>
    <w:rsid w:val="00330232"/>
    <w:rsid w:val="00337655"/>
    <w:rsid w:val="00346968"/>
    <w:rsid w:val="0036080B"/>
    <w:rsid w:val="003609C5"/>
    <w:rsid w:val="003741E8"/>
    <w:rsid w:val="003C67BC"/>
    <w:rsid w:val="003C6FB1"/>
    <w:rsid w:val="003C6FFB"/>
    <w:rsid w:val="003D1320"/>
    <w:rsid w:val="003E05A0"/>
    <w:rsid w:val="003F65C9"/>
    <w:rsid w:val="004758C3"/>
    <w:rsid w:val="004A500A"/>
    <w:rsid w:val="004C2E2D"/>
    <w:rsid w:val="004C2FBE"/>
    <w:rsid w:val="004E7266"/>
    <w:rsid w:val="004F4486"/>
    <w:rsid w:val="0051139D"/>
    <w:rsid w:val="00523C9D"/>
    <w:rsid w:val="005448BC"/>
    <w:rsid w:val="0056409C"/>
    <w:rsid w:val="0057569B"/>
    <w:rsid w:val="00582E20"/>
    <w:rsid w:val="00583520"/>
    <w:rsid w:val="005853F1"/>
    <w:rsid w:val="005D0236"/>
    <w:rsid w:val="005D4421"/>
    <w:rsid w:val="005D4CCB"/>
    <w:rsid w:val="005D6551"/>
    <w:rsid w:val="00603F24"/>
    <w:rsid w:val="0064690E"/>
    <w:rsid w:val="00657965"/>
    <w:rsid w:val="00661FEB"/>
    <w:rsid w:val="00672951"/>
    <w:rsid w:val="00691CE0"/>
    <w:rsid w:val="006C6F95"/>
    <w:rsid w:val="006D07BC"/>
    <w:rsid w:val="00700154"/>
    <w:rsid w:val="00705042"/>
    <w:rsid w:val="007136FC"/>
    <w:rsid w:val="00725849"/>
    <w:rsid w:val="0072666C"/>
    <w:rsid w:val="00743E97"/>
    <w:rsid w:val="00761E02"/>
    <w:rsid w:val="00776662"/>
    <w:rsid w:val="00780D8C"/>
    <w:rsid w:val="007873AF"/>
    <w:rsid w:val="007D477C"/>
    <w:rsid w:val="00820A2D"/>
    <w:rsid w:val="0084375F"/>
    <w:rsid w:val="00850ECE"/>
    <w:rsid w:val="00886260"/>
    <w:rsid w:val="0088747E"/>
    <w:rsid w:val="008B320D"/>
    <w:rsid w:val="008C4476"/>
    <w:rsid w:val="008F6A08"/>
    <w:rsid w:val="00902219"/>
    <w:rsid w:val="009377BD"/>
    <w:rsid w:val="00964ED3"/>
    <w:rsid w:val="009712A5"/>
    <w:rsid w:val="0098539D"/>
    <w:rsid w:val="00990959"/>
    <w:rsid w:val="009909BE"/>
    <w:rsid w:val="009935FC"/>
    <w:rsid w:val="00997BC5"/>
    <w:rsid w:val="009C0675"/>
    <w:rsid w:val="009C761E"/>
    <w:rsid w:val="009D415F"/>
    <w:rsid w:val="00A0289E"/>
    <w:rsid w:val="00A15B67"/>
    <w:rsid w:val="00A308D1"/>
    <w:rsid w:val="00A666CD"/>
    <w:rsid w:val="00AA1924"/>
    <w:rsid w:val="00AA1FD2"/>
    <w:rsid w:val="00AA6DD9"/>
    <w:rsid w:val="00AB74F1"/>
    <w:rsid w:val="00AC52DC"/>
    <w:rsid w:val="00AD2839"/>
    <w:rsid w:val="00AE1AF2"/>
    <w:rsid w:val="00AE50AA"/>
    <w:rsid w:val="00AF67EE"/>
    <w:rsid w:val="00AF77F1"/>
    <w:rsid w:val="00B05B4C"/>
    <w:rsid w:val="00B23E25"/>
    <w:rsid w:val="00B30AE5"/>
    <w:rsid w:val="00B410EE"/>
    <w:rsid w:val="00B71B91"/>
    <w:rsid w:val="00B82DE2"/>
    <w:rsid w:val="00B85BCC"/>
    <w:rsid w:val="00B905BF"/>
    <w:rsid w:val="00B93D11"/>
    <w:rsid w:val="00C14683"/>
    <w:rsid w:val="00C42CA4"/>
    <w:rsid w:val="00C558EA"/>
    <w:rsid w:val="00C77A7D"/>
    <w:rsid w:val="00C845EF"/>
    <w:rsid w:val="00C8536F"/>
    <w:rsid w:val="00C94DB5"/>
    <w:rsid w:val="00CA1298"/>
    <w:rsid w:val="00CB4F8C"/>
    <w:rsid w:val="00CD36D4"/>
    <w:rsid w:val="00CD7F66"/>
    <w:rsid w:val="00CE236B"/>
    <w:rsid w:val="00CE6BD8"/>
    <w:rsid w:val="00CF4A5A"/>
    <w:rsid w:val="00D235F1"/>
    <w:rsid w:val="00D30F6E"/>
    <w:rsid w:val="00D451BE"/>
    <w:rsid w:val="00D47D10"/>
    <w:rsid w:val="00D62D8C"/>
    <w:rsid w:val="00D76397"/>
    <w:rsid w:val="00D81353"/>
    <w:rsid w:val="00DC044B"/>
    <w:rsid w:val="00E020A8"/>
    <w:rsid w:val="00E26416"/>
    <w:rsid w:val="00E327E4"/>
    <w:rsid w:val="00E33F5C"/>
    <w:rsid w:val="00E73D61"/>
    <w:rsid w:val="00E75B0C"/>
    <w:rsid w:val="00EA6E85"/>
    <w:rsid w:val="00EB7897"/>
    <w:rsid w:val="00EE4E03"/>
    <w:rsid w:val="00EF3BC8"/>
    <w:rsid w:val="00EF76AD"/>
    <w:rsid w:val="00F13E8E"/>
    <w:rsid w:val="00F322C8"/>
    <w:rsid w:val="00F45F5E"/>
    <w:rsid w:val="00F525F7"/>
    <w:rsid w:val="00F55531"/>
    <w:rsid w:val="00F62262"/>
    <w:rsid w:val="00FA2D7F"/>
    <w:rsid w:val="00FC311F"/>
    <w:rsid w:val="00FC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C0618"/>
  <w15:chartTrackingRefBased/>
  <w15:docId w15:val="{619FD9CF-3EDB-B944-8976-7972337E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486"/>
    <w:pPr>
      <w:tabs>
        <w:tab w:val="center" w:pos="4680"/>
        <w:tab w:val="right" w:pos="9360"/>
      </w:tabs>
    </w:pPr>
  </w:style>
  <w:style w:type="character" w:customStyle="1" w:styleId="HeaderChar">
    <w:name w:val="Header Char"/>
    <w:basedOn w:val="DefaultParagraphFont"/>
    <w:link w:val="Header"/>
    <w:uiPriority w:val="99"/>
    <w:rsid w:val="004F4486"/>
  </w:style>
  <w:style w:type="paragraph" w:styleId="Footer">
    <w:name w:val="footer"/>
    <w:basedOn w:val="Normal"/>
    <w:link w:val="FooterChar"/>
    <w:uiPriority w:val="99"/>
    <w:unhideWhenUsed/>
    <w:rsid w:val="004F4486"/>
    <w:pPr>
      <w:tabs>
        <w:tab w:val="center" w:pos="4680"/>
        <w:tab w:val="right" w:pos="9360"/>
      </w:tabs>
    </w:pPr>
  </w:style>
  <w:style w:type="character" w:customStyle="1" w:styleId="FooterChar">
    <w:name w:val="Footer Char"/>
    <w:basedOn w:val="DefaultParagraphFont"/>
    <w:link w:val="Footer"/>
    <w:uiPriority w:val="99"/>
    <w:rsid w:val="004F4486"/>
  </w:style>
  <w:style w:type="character" w:styleId="PageNumber">
    <w:name w:val="page number"/>
    <w:basedOn w:val="DefaultParagraphFont"/>
    <w:uiPriority w:val="99"/>
    <w:semiHidden/>
    <w:unhideWhenUsed/>
    <w:rsid w:val="004F4486"/>
  </w:style>
  <w:style w:type="paragraph" w:customStyle="1" w:styleId="p1">
    <w:name w:val="p1"/>
    <w:basedOn w:val="Normal"/>
    <w:rsid w:val="00964ED3"/>
    <w:rPr>
      <w:rFonts w:ascii="Times New Roman" w:eastAsia="Times New Roman" w:hAnsi="Times New Roman" w:cs="Times New Roman"/>
      <w:color w:val="000000"/>
      <w:kern w:val="0"/>
      <w:sz w:val="18"/>
      <w:szCs w:val="18"/>
      <w14:ligatures w14:val="none"/>
    </w:rPr>
  </w:style>
  <w:style w:type="character" w:customStyle="1" w:styleId="s1">
    <w:name w:val="s1"/>
    <w:basedOn w:val="DefaultParagraphFont"/>
    <w:rsid w:val="00964ED3"/>
    <w:rPr>
      <w:rFonts w:ascii="Times New Roman" w:hAnsi="Times New Roman" w:cs="Times New Roman" w:hint="default"/>
      <w:sz w:val="12"/>
      <w:szCs w:val="12"/>
    </w:rPr>
  </w:style>
  <w:style w:type="character" w:customStyle="1" w:styleId="s2">
    <w:name w:val="s2"/>
    <w:basedOn w:val="DefaultParagraphFont"/>
    <w:rsid w:val="00964ED3"/>
    <w:rPr>
      <w:rFonts w:ascii="Helvetica" w:hAnsi="Helvetica" w:hint="default"/>
      <w:sz w:val="17"/>
      <w:szCs w:val="17"/>
    </w:rPr>
  </w:style>
  <w:style w:type="character" w:customStyle="1" w:styleId="s3">
    <w:name w:val="s3"/>
    <w:basedOn w:val="DefaultParagraphFont"/>
    <w:rsid w:val="00657965"/>
    <w:rPr>
      <w:rFonts w:ascii="Helvetica" w:hAnsi="Helvetica" w:hint="default"/>
      <w:sz w:val="18"/>
      <w:szCs w:val="18"/>
    </w:rPr>
  </w:style>
  <w:style w:type="character" w:customStyle="1" w:styleId="s4">
    <w:name w:val="s4"/>
    <w:basedOn w:val="DefaultParagraphFont"/>
    <w:rsid w:val="00657965"/>
    <w:rPr>
      <w:rFonts w:ascii="Arial" w:hAnsi="Arial" w:cs="Arial" w:hint="default"/>
      <w:sz w:val="18"/>
      <w:szCs w:val="18"/>
    </w:rPr>
  </w:style>
  <w:style w:type="character" w:styleId="Hyperlink">
    <w:name w:val="Hyperlink"/>
    <w:basedOn w:val="DefaultParagraphFont"/>
    <w:uiPriority w:val="99"/>
    <w:unhideWhenUsed/>
    <w:rsid w:val="00FC4ACF"/>
    <w:rPr>
      <w:color w:val="0563C1" w:themeColor="hyperlink"/>
      <w:u w:val="single"/>
    </w:rPr>
  </w:style>
  <w:style w:type="character" w:styleId="UnresolvedMention">
    <w:name w:val="Unresolved Mention"/>
    <w:basedOn w:val="DefaultParagraphFont"/>
    <w:uiPriority w:val="99"/>
    <w:semiHidden/>
    <w:unhideWhenUsed/>
    <w:rsid w:val="00FC4ACF"/>
    <w:rPr>
      <w:color w:val="605E5C"/>
      <w:shd w:val="clear" w:color="auto" w:fill="E1DFDD"/>
    </w:rPr>
  </w:style>
  <w:style w:type="character" w:styleId="FollowedHyperlink">
    <w:name w:val="FollowedHyperlink"/>
    <w:basedOn w:val="DefaultParagraphFont"/>
    <w:uiPriority w:val="99"/>
    <w:semiHidden/>
    <w:unhideWhenUsed/>
    <w:rsid w:val="00761E02"/>
    <w:rPr>
      <w:color w:val="954F72" w:themeColor="followedHyperlink"/>
      <w:u w:val="single"/>
    </w:rPr>
  </w:style>
  <w:style w:type="paragraph" w:customStyle="1" w:styleId="p2">
    <w:name w:val="p2"/>
    <w:basedOn w:val="Normal"/>
    <w:rsid w:val="00087242"/>
    <w:rPr>
      <w:rFonts w:ascii="Times New Roman" w:eastAsia="Times New Roman" w:hAnsi="Times New Roman" w:cs="Times New Roman"/>
      <w:color w:val="000000"/>
      <w:kern w:val="0"/>
      <w:sz w:val="12"/>
      <w:szCs w:val="12"/>
      <w14:ligatures w14:val="none"/>
    </w:rPr>
  </w:style>
  <w:style w:type="paragraph" w:customStyle="1" w:styleId="p3">
    <w:name w:val="p3"/>
    <w:basedOn w:val="Normal"/>
    <w:rsid w:val="00087242"/>
    <w:rPr>
      <w:rFonts w:ascii="Times New Roman" w:eastAsia="Times New Roman" w:hAnsi="Times New Roman" w:cs="Times New Roman"/>
      <w:color w:val="000000"/>
      <w:kern w:val="0"/>
      <w:sz w:val="15"/>
      <w:szCs w:val="15"/>
      <w14:ligatures w14:val="none"/>
    </w:rPr>
  </w:style>
  <w:style w:type="character" w:customStyle="1" w:styleId="s5">
    <w:name w:val="s5"/>
    <w:basedOn w:val="DefaultParagraphFont"/>
    <w:rsid w:val="00087242"/>
    <w:rPr>
      <w:rFonts w:ascii="Times New Roman" w:hAnsi="Times New Roman" w:cs="Times New Roman" w:hint="default"/>
      <w:sz w:val="15"/>
      <w:szCs w:val="15"/>
    </w:rPr>
  </w:style>
  <w:style w:type="paragraph" w:styleId="FootnoteText">
    <w:name w:val="footnote text"/>
    <w:basedOn w:val="Normal"/>
    <w:link w:val="FootnoteTextChar"/>
    <w:uiPriority w:val="99"/>
    <w:semiHidden/>
    <w:unhideWhenUsed/>
    <w:rsid w:val="0011020D"/>
    <w:rPr>
      <w:sz w:val="20"/>
      <w:szCs w:val="20"/>
    </w:rPr>
  </w:style>
  <w:style w:type="character" w:customStyle="1" w:styleId="FootnoteTextChar">
    <w:name w:val="Footnote Text Char"/>
    <w:basedOn w:val="DefaultParagraphFont"/>
    <w:link w:val="FootnoteText"/>
    <w:uiPriority w:val="99"/>
    <w:semiHidden/>
    <w:rsid w:val="0011020D"/>
    <w:rPr>
      <w:sz w:val="20"/>
      <w:szCs w:val="20"/>
    </w:rPr>
  </w:style>
  <w:style w:type="character" w:styleId="FootnoteReference">
    <w:name w:val="footnote reference"/>
    <w:basedOn w:val="DefaultParagraphFont"/>
    <w:uiPriority w:val="99"/>
    <w:semiHidden/>
    <w:unhideWhenUsed/>
    <w:rsid w:val="0011020D"/>
    <w:rPr>
      <w:vertAlign w:val="superscript"/>
    </w:rPr>
  </w:style>
  <w:style w:type="paragraph" w:styleId="EndnoteText">
    <w:name w:val="endnote text"/>
    <w:basedOn w:val="Normal"/>
    <w:link w:val="EndnoteTextChar"/>
    <w:uiPriority w:val="99"/>
    <w:semiHidden/>
    <w:unhideWhenUsed/>
    <w:rsid w:val="0011020D"/>
    <w:rPr>
      <w:sz w:val="20"/>
      <w:szCs w:val="20"/>
    </w:rPr>
  </w:style>
  <w:style w:type="character" w:customStyle="1" w:styleId="EndnoteTextChar">
    <w:name w:val="Endnote Text Char"/>
    <w:basedOn w:val="DefaultParagraphFont"/>
    <w:link w:val="EndnoteText"/>
    <w:uiPriority w:val="99"/>
    <w:semiHidden/>
    <w:rsid w:val="0011020D"/>
    <w:rPr>
      <w:sz w:val="20"/>
      <w:szCs w:val="20"/>
    </w:rPr>
  </w:style>
  <w:style w:type="character" w:styleId="EndnoteReference">
    <w:name w:val="endnote reference"/>
    <w:basedOn w:val="DefaultParagraphFont"/>
    <w:uiPriority w:val="99"/>
    <w:semiHidden/>
    <w:unhideWhenUsed/>
    <w:rsid w:val="0011020D"/>
    <w:rPr>
      <w:vertAlign w:val="superscript"/>
    </w:rPr>
  </w:style>
  <w:style w:type="paragraph" w:customStyle="1" w:styleId="footnotedescription">
    <w:name w:val="footnote description"/>
    <w:next w:val="Normal"/>
    <w:link w:val="footnotedescriptionChar"/>
    <w:hidden/>
    <w:rsid w:val="00672951"/>
    <w:pPr>
      <w:spacing w:line="259" w:lineRule="auto"/>
      <w:ind w:left="72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672951"/>
    <w:rPr>
      <w:rFonts w:ascii="Times New Roman" w:eastAsia="Times New Roman" w:hAnsi="Times New Roman" w:cs="Times New Roman"/>
      <w:color w:val="000000"/>
      <w:sz w:val="20"/>
    </w:rPr>
  </w:style>
  <w:style w:type="character" w:customStyle="1" w:styleId="footnotemark">
    <w:name w:val="footnote mark"/>
    <w:hidden/>
    <w:rsid w:val="00672951"/>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091809">
      <w:bodyDiv w:val="1"/>
      <w:marLeft w:val="0"/>
      <w:marRight w:val="0"/>
      <w:marTop w:val="0"/>
      <w:marBottom w:val="0"/>
      <w:divBdr>
        <w:top w:val="none" w:sz="0" w:space="0" w:color="auto"/>
        <w:left w:val="none" w:sz="0" w:space="0" w:color="auto"/>
        <w:bottom w:val="none" w:sz="0" w:space="0" w:color="auto"/>
        <w:right w:val="none" w:sz="0" w:space="0" w:color="auto"/>
      </w:divBdr>
    </w:div>
    <w:div w:id="312223712">
      <w:bodyDiv w:val="1"/>
      <w:marLeft w:val="0"/>
      <w:marRight w:val="0"/>
      <w:marTop w:val="0"/>
      <w:marBottom w:val="0"/>
      <w:divBdr>
        <w:top w:val="none" w:sz="0" w:space="0" w:color="auto"/>
        <w:left w:val="none" w:sz="0" w:space="0" w:color="auto"/>
        <w:bottom w:val="none" w:sz="0" w:space="0" w:color="auto"/>
        <w:right w:val="none" w:sz="0" w:space="0" w:color="auto"/>
      </w:divBdr>
    </w:div>
    <w:div w:id="345524850">
      <w:bodyDiv w:val="1"/>
      <w:marLeft w:val="0"/>
      <w:marRight w:val="0"/>
      <w:marTop w:val="0"/>
      <w:marBottom w:val="0"/>
      <w:divBdr>
        <w:top w:val="none" w:sz="0" w:space="0" w:color="auto"/>
        <w:left w:val="none" w:sz="0" w:space="0" w:color="auto"/>
        <w:bottom w:val="none" w:sz="0" w:space="0" w:color="auto"/>
        <w:right w:val="none" w:sz="0" w:space="0" w:color="auto"/>
      </w:divBdr>
    </w:div>
    <w:div w:id="665135702">
      <w:bodyDiv w:val="1"/>
      <w:marLeft w:val="0"/>
      <w:marRight w:val="0"/>
      <w:marTop w:val="0"/>
      <w:marBottom w:val="0"/>
      <w:divBdr>
        <w:top w:val="none" w:sz="0" w:space="0" w:color="auto"/>
        <w:left w:val="none" w:sz="0" w:space="0" w:color="auto"/>
        <w:bottom w:val="none" w:sz="0" w:space="0" w:color="auto"/>
        <w:right w:val="none" w:sz="0" w:space="0" w:color="auto"/>
      </w:divBdr>
    </w:div>
    <w:div w:id="927082628">
      <w:bodyDiv w:val="1"/>
      <w:marLeft w:val="0"/>
      <w:marRight w:val="0"/>
      <w:marTop w:val="0"/>
      <w:marBottom w:val="0"/>
      <w:divBdr>
        <w:top w:val="none" w:sz="0" w:space="0" w:color="auto"/>
        <w:left w:val="none" w:sz="0" w:space="0" w:color="auto"/>
        <w:bottom w:val="none" w:sz="0" w:space="0" w:color="auto"/>
        <w:right w:val="none" w:sz="0" w:space="0" w:color="auto"/>
      </w:divBdr>
    </w:div>
    <w:div w:id="999163450">
      <w:bodyDiv w:val="1"/>
      <w:marLeft w:val="0"/>
      <w:marRight w:val="0"/>
      <w:marTop w:val="0"/>
      <w:marBottom w:val="0"/>
      <w:divBdr>
        <w:top w:val="none" w:sz="0" w:space="0" w:color="auto"/>
        <w:left w:val="none" w:sz="0" w:space="0" w:color="auto"/>
        <w:bottom w:val="none" w:sz="0" w:space="0" w:color="auto"/>
        <w:right w:val="none" w:sz="0" w:space="0" w:color="auto"/>
      </w:divBdr>
    </w:div>
    <w:div w:id="1493528111">
      <w:bodyDiv w:val="1"/>
      <w:marLeft w:val="0"/>
      <w:marRight w:val="0"/>
      <w:marTop w:val="0"/>
      <w:marBottom w:val="0"/>
      <w:divBdr>
        <w:top w:val="none" w:sz="0" w:space="0" w:color="auto"/>
        <w:left w:val="none" w:sz="0" w:space="0" w:color="auto"/>
        <w:bottom w:val="none" w:sz="0" w:space="0" w:color="auto"/>
        <w:right w:val="none" w:sz="0" w:space="0" w:color="auto"/>
      </w:divBdr>
    </w:div>
    <w:div w:id="1786073301">
      <w:bodyDiv w:val="1"/>
      <w:marLeft w:val="0"/>
      <w:marRight w:val="0"/>
      <w:marTop w:val="0"/>
      <w:marBottom w:val="0"/>
      <w:divBdr>
        <w:top w:val="none" w:sz="0" w:space="0" w:color="auto"/>
        <w:left w:val="none" w:sz="0" w:space="0" w:color="auto"/>
        <w:bottom w:val="none" w:sz="0" w:space="0" w:color="auto"/>
        <w:right w:val="none" w:sz="0" w:space="0" w:color="auto"/>
      </w:divBdr>
    </w:div>
    <w:div w:id="2022588326">
      <w:bodyDiv w:val="1"/>
      <w:marLeft w:val="0"/>
      <w:marRight w:val="0"/>
      <w:marTop w:val="0"/>
      <w:marBottom w:val="0"/>
      <w:divBdr>
        <w:top w:val="none" w:sz="0" w:space="0" w:color="auto"/>
        <w:left w:val="none" w:sz="0" w:space="0" w:color="auto"/>
        <w:bottom w:val="none" w:sz="0" w:space="0" w:color="auto"/>
        <w:right w:val="none" w:sz="0" w:space="0" w:color="auto"/>
      </w:divBdr>
    </w:div>
    <w:div w:id="20357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a.gov/todayinenergy/detail.php?id=61025" TargetMode="External"/><Relationship Id="rId18" Type="http://schemas.openxmlformats.org/officeDocument/2006/relationships/hyperlink" Target="http://www.thenationalnews.com/business/2024/01/09/shipping-costs-have-risen-up-to-250-" TargetMode="External"/><Relationship Id="rId26" Type="http://schemas.openxmlformats.org/officeDocument/2006/relationships/hyperlink" Target="https://www.newadvent.org/cathen/06585a.htm" TargetMode="External"/><Relationship Id="rId3" Type="http://schemas.openxmlformats.org/officeDocument/2006/relationships/settings" Target="settings.xml"/><Relationship Id="rId21" Type="http://schemas.openxmlformats.org/officeDocument/2006/relationships/hyperlink" Target="http://www.politico.com/news/2023/12/19/missile-" TargetMode="External"/><Relationship Id="rId34" Type="http://schemas.openxmlformats.org/officeDocument/2006/relationships/hyperlink" Target="https://www.newadvent.org/cathen/09736b.htm" TargetMode="External"/><Relationship Id="rId7" Type="http://schemas.openxmlformats.org/officeDocument/2006/relationships/footer" Target="footer1.xml"/><Relationship Id="rId12" Type="http://schemas.openxmlformats.org/officeDocument/2006/relationships/hyperlink" Target="http://www.fpri.org/article/2013/07/geopolitics-reborn/" TargetMode="External"/><Relationship Id="rId17" Type="http://schemas.openxmlformats.org/officeDocument/2006/relationships/hyperlink" Target="http://www.newslooks.com/algeria-the-new-base-of-iranian-influence-in-africa/" TargetMode="External"/><Relationship Id="rId25" Type="http://schemas.openxmlformats.org/officeDocument/2006/relationships/hyperlink" Target="https://www.newadvent.org/cathen/06585a.htm" TargetMode="External"/><Relationship Id="rId33" Type="http://schemas.openxmlformats.org/officeDocument/2006/relationships/hyperlink" Target="https://www.newadvent.org/cathen/09736b.htm" TargetMode="External"/><Relationship Id="rId2" Type="http://schemas.openxmlformats.org/officeDocument/2006/relationships/styles" Target="styles.xml"/><Relationship Id="rId16" Type="http://schemas.openxmlformats.org/officeDocument/2006/relationships/hyperlink" Target="http://www.middleeastmonitor.com/20171027-in-sunni-" TargetMode="External"/><Relationship Id="rId20" Type="http://schemas.openxmlformats.org/officeDocument/2006/relationships/hyperlink" Target="http://www.defensenews.com/global/europe/2024/01/11/french-navy-defends-use-of-million-" TargetMode="External"/><Relationship Id="rId29" Type="http://schemas.openxmlformats.org/officeDocument/2006/relationships/hyperlink" Target="https://www.newadvent.org/cathen/15472a.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akerinstitute.org/research/blowback-gaza-geopolitics-" TargetMode="External"/><Relationship Id="rId24" Type="http://schemas.openxmlformats.org/officeDocument/2006/relationships/hyperlink" Target="https://www.newadvent.org/cathen/06585a.htm" TargetMode="External"/><Relationship Id="rId32" Type="http://schemas.openxmlformats.org/officeDocument/2006/relationships/hyperlink" Target="https://www.newadvent.org/cathen/09580c.htm" TargetMode="External"/><Relationship Id="rId5" Type="http://schemas.openxmlformats.org/officeDocument/2006/relationships/footnotes" Target="footnotes.xml"/><Relationship Id="rId15" Type="http://schemas.openxmlformats.org/officeDocument/2006/relationships/hyperlink" Target="http://www.marshallcenter.org/en/publications/occasional-papers/victory-not-possible-defeat-" TargetMode="External"/><Relationship Id="rId23" Type="http://schemas.openxmlformats.org/officeDocument/2006/relationships/hyperlink" Target="https://www.newadvent.org/cathen/15464b.htm" TargetMode="External"/><Relationship Id="rId28" Type="http://schemas.openxmlformats.org/officeDocument/2006/relationships/hyperlink" Target="https://www.newadvent.org/cathen/15472a.htm" TargetMode="External"/><Relationship Id="rId36" Type="http://schemas.openxmlformats.org/officeDocument/2006/relationships/theme" Target="theme/theme1.xml"/><Relationship Id="rId10" Type="http://schemas.openxmlformats.org/officeDocument/2006/relationships/hyperlink" Target="http://www.dia.mil/Portals/110/Documents/News/Military_Power_Publications/Iran_Houthi_Fi" TargetMode="External"/><Relationship Id="rId19" Type="http://schemas.openxmlformats.org/officeDocument/2006/relationships/hyperlink" Target="http://www.cfr.org/in-brief/irans-support-" TargetMode="External"/><Relationship Id="rId31" Type="http://schemas.openxmlformats.org/officeDocument/2006/relationships/hyperlink" Target="https://www.newadvent.org/cathen/09580c.htm" TargetMode="External"/><Relationship Id="rId4" Type="http://schemas.openxmlformats.org/officeDocument/2006/relationships/webSettings" Target="webSettings.xml"/><Relationship Id="rId9" Type="http://schemas.openxmlformats.org/officeDocument/2006/relationships/hyperlink" Target="http://www.atlanticcouncil.org/blogs/menasource/the-shia-are-a-black-hole-for-" TargetMode="External"/><Relationship Id="rId14" Type="http://schemas.openxmlformats.org/officeDocument/2006/relationships/hyperlink" Target="http://www.mei.edu/publications/ideological-underpinnings-" TargetMode="External"/><Relationship Id="rId22" Type="http://schemas.openxmlformats.org/officeDocument/2006/relationships/hyperlink" Target="https://www.newadvent.org/cathen/15464b.htm" TargetMode="External"/><Relationship Id="rId27" Type="http://schemas.openxmlformats.org/officeDocument/2006/relationships/hyperlink" Target="https://www.newadvent.org/cathen/15472a.htm" TargetMode="External"/><Relationship Id="rId30" Type="http://schemas.openxmlformats.org/officeDocument/2006/relationships/hyperlink" Target="https://www.newadvent.org/cathen/09580c.htm" TargetMode="External"/><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8D786-24C1-9941-A638-5B2B41251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21364</Words>
  <Characters>121778</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Doremus, Abi</dc:creator>
  <cp:keywords/>
  <dc:description/>
  <cp:lastModifiedBy>Krulak, Todd</cp:lastModifiedBy>
  <cp:revision>2</cp:revision>
  <dcterms:created xsi:type="dcterms:W3CDTF">2026-08-26T17:46:00Z</dcterms:created>
  <dcterms:modified xsi:type="dcterms:W3CDTF">2026-08-26T17:46:00Z</dcterms:modified>
</cp:coreProperties>
</file>